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09" w:rsidRPr="0009227C" w:rsidRDefault="008F1C09" w:rsidP="00CF7C1A">
      <w:pPr>
        <w:pStyle w:val="Nadpis1"/>
        <w:spacing w:before="240" w:after="120" w:line="264" w:lineRule="auto"/>
      </w:pPr>
      <w:bookmarkStart w:id="0" w:name="_Toc444112496"/>
      <w:bookmarkStart w:id="1" w:name="_Toc525303566"/>
      <w:r w:rsidRPr="0009227C">
        <w:t xml:space="preserve">Kapitola E Veřejná správa a </w:t>
      </w:r>
      <w:r w:rsidR="00D1205B">
        <w:t>ICT</w:t>
      </w:r>
      <w:r w:rsidRPr="0009227C">
        <w:t xml:space="preserve">: </w:t>
      </w:r>
      <w:proofErr w:type="spellStart"/>
      <w:r w:rsidRPr="0009227C">
        <w:t>eGovernment</w:t>
      </w:r>
      <w:bookmarkEnd w:id="1"/>
      <w:proofErr w:type="spellEnd"/>
    </w:p>
    <w:p w:rsidR="008F1C09" w:rsidRPr="0009227C" w:rsidRDefault="008F1C09" w:rsidP="008F1C09">
      <w:pPr>
        <w:pStyle w:val="Zkladntext"/>
        <w:spacing w:before="0" w:after="80" w:line="264" w:lineRule="auto"/>
        <w:rPr>
          <w:i/>
          <w:sz w:val="20"/>
        </w:rPr>
      </w:pPr>
      <w:r w:rsidRPr="0009227C">
        <w:rPr>
          <w:i/>
          <w:sz w:val="20"/>
        </w:rPr>
        <w:t xml:space="preserve">O </w:t>
      </w:r>
      <w:proofErr w:type="spellStart"/>
      <w:r w:rsidRPr="0009227C">
        <w:rPr>
          <w:i/>
          <w:sz w:val="20"/>
        </w:rPr>
        <w:t>eGovernmentu</w:t>
      </w:r>
      <w:proofErr w:type="spellEnd"/>
      <w:r w:rsidRPr="0009227C">
        <w:rPr>
          <w:i/>
          <w:sz w:val="20"/>
        </w:rPr>
        <w:t xml:space="preserve"> se v České republice začalo hovořit již na počátku devadesátých let minulého století, ale až po roce 1999, kdy se opravdu začínalo počítat s internetem jako technologií budoucnosti, došlo k rozšíření této technologie na úřady a další instituce veřejné správy. V roce 2003 vzniklo Ministerstvo informatiky</w:t>
      </w:r>
      <w:r w:rsidRPr="0009227C">
        <w:rPr>
          <w:rStyle w:val="Znakapoznpodarou"/>
          <w:i/>
          <w:sz w:val="20"/>
        </w:rPr>
        <w:footnoteReference w:id="1"/>
      </w:r>
      <w:r w:rsidRPr="0009227C">
        <w:rPr>
          <w:i/>
          <w:sz w:val="20"/>
        </w:rPr>
        <w:t xml:space="preserve"> a o tři roky později byla schválena Státní informační a komunikační politika: e-Česko 2006. Ve stejném roce vznikla síť kontaktních míst veřejné správy Czech POINT, která představovala dosavadní největší rozvoj </w:t>
      </w:r>
      <w:proofErr w:type="spellStart"/>
      <w:r w:rsidRPr="0009227C">
        <w:rPr>
          <w:i/>
          <w:sz w:val="20"/>
        </w:rPr>
        <w:t>eGovernmentu</w:t>
      </w:r>
      <w:proofErr w:type="spellEnd"/>
      <w:r w:rsidRPr="0009227C">
        <w:rPr>
          <w:i/>
          <w:sz w:val="20"/>
        </w:rPr>
        <w:t xml:space="preserve"> v Česku – alespoň ve vztahu k jeho občanům.</w:t>
      </w:r>
    </w:p>
    <w:p w:rsidR="008F1C09" w:rsidRPr="0009227C" w:rsidRDefault="008F1C09" w:rsidP="008F1C09">
      <w:pPr>
        <w:pStyle w:val="Zkladntext"/>
        <w:spacing w:before="0" w:after="80" w:line="264" w:lineRule="auto"/>
        <w:rPr>
          <w:i/>
          <w:sz w:val="20"/>
        </w:rPr>
      </w:pPr>
      <w:r w:rsidRPr="0009227C">
        <w:rPr>
          <w:i/>
          <w:sz w:val="20"/>
        </w:rPr>
        <w:t xml:space="preserve">V roce 2008 byl schválen zákon č. 300/2008 o elektronických úkonech a autorizované konverzi dokumentů, někdy též nazývaný jako zákon o </w:t>
      </w:r>
      <w:proofErr w:type="spellStart"/>
      <w:r w:rsidRPr="0009227C">
        <w:rPr>
          <w:i/>
          <w:sz w:val="20"/>
        </w:rPr>
        <w:t>eGovernmentu</w:t>
      </w:r>
      <w:proofErr w:type="spellEnd"/>
      <w:r w:rsidRPr="0009227C">
        <w:rPr>
          <w:i/>
          <w:sz w:val="20"/>
        </w:rPr>
        <w:t>, jehož cílem bylo vytvoření optimálních podmínek pro elektronickou komunikaci mezi úřady a občany i mezi úřady samotnými. V červenci 2009 byl spuštěn systém datových schránek, který usnadňuje komunikaci s veřejnou správou, a o tři roky později byl do provozu zaveden systém základních registrů, který umožňuje propojitelnost základních údajů o občanech ČR mezi úřady veřejné správy.</w:t>
      </w:r>
    </w:p>
    <w:p w:rsidR="008F1C09" w:rsidRPr="0009227C" w:rsidRDefault="008F1C09" w:rsidP="008F1C09">
      <w:pPr>
        <w:pStyle w:val="Zkladntext"/>
        <w:spacing w:before="0" w:after="80" w:line="264" w:lineRule="auto"/>
        <w:rPr>
          <w:i/>
          <w:sz w:val="20"/>
        </w:rPr>
      </w:pPr>
      <w:r w:rsidRPr="0009227C">
        <w:rPr>
          <w:i/>
          <w:sz w:val="20"/>
        </w:rPr>
        <w:t>Na rozdíl např. od domácností, zdravotnických zařízení nebo škol, měly již v roce 2008, tj. před deseti lety, všechny organizace veřejné správy, včetně jednotlivých obecních úřadů, připojení k internetu a 90 % vlastní webové stránky. V roce 2010 jich bylo již téměř 100 %. Webové stránky těchto organizací hojně navštěvují také občané. Např. již v roce 2010 pětina občanů sdělila, že na stránkách úřadů vyhledávala potřebné informace. Kromě jednoduchého prohlížení webových stránek lze rovněž u mnoha úřadů nalézt a stáhnout úřední formuláře. V roce 2017 uvedlo 15 % osob, že si na stránkách úřadů stáhlo formulář, který po vyplnění doručili na příslušný úřad osobně, poštou či emailem. Kromě informací či formulářů ke stažení však jen velmi malá část těchto organizací – desetina v roce 2008 – umožnovala na svých stránkách úplné elektronické podání.</w:t>
      </w:r>
      <w:r w:rsidRPr="0009227C">
        <w:rPr>
          <w:rStyle w:val="Znakapoznpodarou"/>
          <w:i/>
          <w:sz w:val="20"/>
        </w:rPr>
        <w:footnoteReference w:id="2"/>
      </w:r>
      <w:r w:rsidRPr="0009227C">
        <w:rPr>
          <w:i/>
          <w:sz w:val="20"/>
        </w:rPr>
        <w:t xml:space="preserve"> </w:t>
      </w:r>
    </w:p>
    <w:p w:rsidR="008F1C09" w:rsidRPr="0009227C" w:rsidRDefault="008F1C09" w:rsidP="008F1C09">
      <w:pPr>
        <w:pStyle w:val="Zkladntext"/>
        <w:spacing w:before="0" w:after="80" w:line="264" w:lineRule="auto"/>
        <w:rPr>
          <w:i/>
          <w:sz w:val="20"/>
        </w:rPr>
      </w:pPr>
      <w:r w:rsidRPr="0009227C">
        <w:rPr>
          <w:i/>
          <w:sz w:val="20"/>
        </w:rPr>
        <w:t>Stejně jako v roce 2008 i v současnosti vyžaduje většina životních situací, které občané na úřadech řeší, osobní návštěvu dané instituce</w:t>
      </w:r>
      <w:r w:rsidRPr="0009227C">
        <w:rPr>
          <w:rStyle w:val="Znakapoznpodarou"/>
          <w:i/>
          <w:sz w:val="20"/>
        </w:rPr>
        <w:footnoteReference w:id="3"/>
      </w:r>
      <w:r w:rsidRPr="0009227C">
        <w:rPr>
          <w:i/>
          <w:sz w:val="20"/>
        </w:rPr>
        <w:t>, což pramení zejména z legislativních důvodů. Jedná se např. o tyto situace – vydání pasu, řidičského či občanského průkazu, oznámení změny adresy, získání kopie matričních dokladů či zažádání si o sociální a jiné dávky.</w:t>
      </w:r>
    </w:p>
    <w:p w:rsidR="008F1C09" w:rsidRPr="0009227C" w:rsidRDefault="008F1C09" w:rsidP="008F1C09">
      <w:pPr>
        <w:pStyle w:val="Zkladntext"/>
        <w:spacing w:before="0" w:after="80" w:line="264" w:lineRule="auto"/>
        <w:rPr>
          <w:i/>
          <w:sz w:val="20"/>
        </w:rPr>
      </w:pPr>
      <w:r w:rsidRPr="0009227C">
        <w:rPr>
          <w:i/>
          <w:sz w:val="20"/>
        </w:rPr>
        <w:t xml:space="preserve">Česko má tedy v oblasti poskytování služeb </w:t>
      </w:r>
      <w:proofErr w:type="spellStart"/>
      <w:r w:rsidRPr="0009227C">
        <w:rPr>
          <w:i/>
          <w:sz w:val="20"/>
        </w:rPr>
        <w:t>eGovernmentu</w:t>
      </w:r>
      <w:proofErr w:type="spellEnd"/>
      <w:r w:rsidRPr="0009227C">
        <w:rPr>
          <w:i/>
          <w:sz w:val="20"/>
        </w:rPr>
        <w:t xml:space="preserve"> před sebou ještě dlouhou cestu. Vývoj digitálních služeb je přitom důležitý jak z hlediska většího komfortu pro uživatele – občana, firmu, úředníka, tak z hlediska efektivity výdajů veřejných prostředků. Dosavadní nižší úroveň rozvoje elektronických služeb, které jsou českým občanům umožněny, potvrzují nejen evropské a globální průzkumy, ale i data ČSÚ. Data mapující využívání online služeb poskytovaných veřejnou správou by měla být v současné době jedním ze základních pilířů hodnocení úrovně českého </w:t>
      </w:r>
      <w:proofErr w:type="spellStart"/>
      <w:r w:rsidRPr="0009227C">
        <w:rPr>
          <w:i/>
          <w:sz w:val="20"/>
        </w:rPr>
        <w:t>eGovernmentu</w:t>
      </w:r>
      <w:proofErr w:type="spellEnd"/>
      <w:r w:rsidRPr="0009227C">
        <w:rPr>
          <w:i/>
          <w:sz w:val="20"/>
        </w:rPr>
        <w:t xml:space="preserve">, tedy elektronizace veřejné správy. </w:t>
      </w:r>
    </w:p>
    <w:p w:rsidR="008F1C09" w:rsidRPr="0009227C" w:rsidRDefault="008F1C09" w:rsidP="008F1C09">
      <w:pPr>
        <w:pStyle w:val="Nadpis2"/>
        <w:spacing w:before="240" w:after="120" w:line="264" w:lineRule="auto"/>
      </w:pPr>
      <w:bookmarkStart w:id="2" w:name="_Toc525303567"/>
      <w:r w:rsidRPr="0009227C">
        <w:t>E. 1 Czech POINT a jeho využití</w:t>
      </w:r>
      <w:bookmarkEnd w:id="2"/>
      <w:r w:rsidRPr="0009227C">
        <w:t xml:space="preserve"> </w:t>
      </w:r>
    </w:p>
    <w:p w:rsidR="008F1C09" w:rsidRPr="008F1C09" w:rsidRDefault="008F1C09" w:rsidP="008F1C09">
      <w:pPr>
        <w:pStyle w:val="Zkladntext"/>
        <w:spacing w:before="0" w:after="80" w:line="264" w:lineRule="auto"/>
        <w:rPr>
          <w:i/>
          <w:sz w:val="20"/>
        </w:rPr>
      </w:pPr>
      <w:r w:rsidRPr="0009227C">
        <w:rPr>
          <w:i/>
          <w:sz w:val="20"/>
        </w:rPr>
        <w:t>Český Podací Ověřovací Informační Národní Terminál (Czech POINT) je projektem</w:t>
      </w:r>
      <w:r w:rsidRPr="0009227C">
        <w:rPr>
          <w:rStyle w:val="Znakapoznpodarou"/>
          <w:i/>
          <w:sz w:val="20"/>
        </w:rPr>
        <w:footnoteReference w:id="4"/>
      </w:r>
      <w:r w:rsidRPr="0009227C">
        <w:rPr>
          <w:i/>
          <w:sz w:val="20"/>
        </w:rPr>
        <w:t xml:space="preserve">, jehož cílem je zredukovat přílišnou byrokracii ve vztahu občan – veřejná správa. Konkrétním úkolem Czech </w:t>
      </w:r>
      <w:proofErr w:type="spellStart"/>
      <w:r w:rsidRPr="0009227C">
        <w:rPr>
          <w:i/>
          <w:sz w:val="20"/>
        </w:rPr>
        <w:t>POINTu</w:t>
      </w:r>
      <w:proofErr w:type="spellEnd"/>
      <w:r w:rsidRPr="0009227C">
        <w:rPr>
          <w:i/>
          <w:sz w:val="20"/>
        </w:rPr>
        <w:t xml:space="preserve"> je sloužit jako asistované místo pro výkon veřejné správy. Prostřednictvím tohoto univerzálního místa, které umožňuje komunikaci občanů se státem, může občan získat veškeré údaje, které jsou o něm vedeny v centrálních veřejných evidencích a registrech a jejich opisy a výpisy. Je to zároveň místo (obecní úřad, pošta atd.), kde je možné si nechat ověřit dokumenty, listiny, podpisy či elektronickou podobu dokumentů.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lastRenderedPageBreak/>
        <w:t xml:space="preserve">K 31. 12. 2017 se v České republice nacházelo celkem 7 536 </w:t>
      </w:r>
      <w:r w:rsidRPr="0009227C">
        <w:rPr>
          <w:b/>
          <w:sz w:val="20"/>
        </w:rPr>
        <w:t>kontaktních pracovišť</w:t>
      </w:r>
      <w:r w:rsidRPr="0009227C">
        <w:rPr>
          <w:sz w:val="20"/>
        </w:rPr>
        <w:t xml:space="preserve"> zapojených do systému Czech POINT, z nichž 5 937 (79 %) bylo občanům dostupných na obecních úřadech a 984 (13 %) na pobočkách pošty. 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>Prostřednictvím služby</w:t>
      </w:r>
      <w:r w:rsidRPr="0009227C">
        <w:rPr>
          <w:b/>
          <w:sz w:val="20"/>
        </w:rPr>
        <w:t xml:space="preserve"> Czech POINT </w:t>
      </w:r>
      <w:r w:rsidRPr="0009227C">
        <w:rPr>
          <w:sz w:val="20"/>
        </w:rPr>
        <w:t xml:space="preserve">byly občanům v roce 2017 na výše uvedených kontaktních pracovištích poskytnuty  více než 2 miliony (2 124 tis.) </w:t>
      </w:r>
      <w:r w:rsidRPr="0009227C">
        <w:rPr>
          <w:b/>
          <w:sz w:val="20"/>
        </w:rPr>
        <w:t xml:space="preserve">výstupů. </w:t>
      </w:r>
      <w:r w:rsidRPr="0009227C">
        <w:rPr>
          <w:sz w:val="20"/>
        </w:rPr>
        <w:t xml:space="preserve">Tento celkový počet výstupů se v posledních pěti letech již nijak výrazně nemění a pohybuje se stále kolem hodnoty 2,1 mil. ročně. 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>Nejčastěji se jednalo o </w:t>
      </w:r>
      <w:r w:rsidRPr="0009227C">
        <w:rPr>
          <w:b/>
          <w:sz w:val="20"/>
        </w:rPr>
        <w:t>výpisy</w:t>
      </w:r>
      <w:r w:rsidRPr="0009227C">
        <w:rPr>
          <w:sz w:val="20"/>
        </w:rPr>
        <w:t>, které</w:t>
      </w:r>
      <w:r w:rsidRPr="0009227C">
        <w:rPr>
          <w:b/>
          <w:sz w:val="20"/>
        </w:rPr>
        <w:t xml:space="preserve"> </w:t>
      </w:r>
      <w:r w:rsidRPr="0009227C">
        <w:rPr>
          <w:sz w:val="20"/>
        </w:rPr>
        <w:t xml:space="preserve">v roce 2017 tvořily tři čtvrtiny (1 522 tis.) všech výstupů Czech </w:t>
      </w:r>
      <w:proofErr w:type="spellStart"/>
      <w:r w:rsidRPr="0009227C">
        <w:rPr>
          <w:sz w:val="20"/>
        </w:rPr>
        <w:t>POINTu</w:t>
      </w:r>
      <w:proofErr w:type="spellEnd"/>
      <w:r w:rsidRPr="0009227C">
        <w:rPr>
          <w:sz w:val="20"/>
        </w:rPr>
        <w:t xml:space="preserve">. Necelou čtvrtinu (473 tis.) výstupů tvořily v roce 2017 </w:t>
      </w:r>
      <w:r w:rsidRPr="0009227C">
        <w:rPr>
          <w:b/>
          <w:sz w:val="20"/>
        </w:rPr>
        <w:t>převody dokumentů</w:t>
      </w:r>
      <w:r w:rsidRPr="0009227C">
        <w:rPr>
          <w:sz w:val="20"/>
        </w:rPr>
        <w:t>, a to především z elektronické do listinné podoby. Z ostatních výstupů se jednalo nejčastěji o </w:t>
      </w:r>
      <w:r w:rsidRPr="0009227C">
        <w:rPr>
          <w:b/>
          <w:sz w:val="20"/>
        </w:rPr>
        <w:t>žádosti ohledně zřízení datové schránky</w:t>
      </w:r>
      <w:r w:rsidRPr="0009227C">
        <w:rPr>
          <w:sz w:val="20"/>
        </w:rPr>
        <w:t>, kterých bylo v roce 2017 přes 43 tisíc.</w:t>
      </w:r>
    </w:p>
    <w:p w:rsidR="008F1C09" w:rsidRPr="008F1C09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Pokud jde o jednotlivé </w:t>
      </w:r>
      <w:r w:rsidRPr="0009227C">
        <w:rPr>
          <w:b/>
          <w:sz w:val="20"/>
        </w:rPr>
        <w:t>typy výpisů</w:t>
      </w:r>
      <w:r w:rsidRPr="0009227C">
        <w:rPr>
          <w:sz w:val="20"/>
        </w:rPr>
        <w:t xml:space="preserve"> vydaných prostřednictvím Czech </w:t>
      </w:r>
      <w:proofErr w:type="spellStart"/>
      <w:r w:rsidRPr="0009227C">
        <w:rPr>
          <w:sz w:val="20"/>
        </w:rPr>
        <w:t>POINTu</w:t>
      </w:r>
      <w:proofErr w:type="spellEnd"/>
      <w:r w:rsidRPr="0009227C">
        <w:rPr>
          <w:sz w:val="20"/>
        </w:rPr>
        <w:t xml:space="preserve">, i v roce 2017 šlo nejčastěji o výpisy z </w:t>
      </w:r>
      <w:r w:rsidRPr="0009227C">
        <w:rPr>
          <w:b/>
          <w:sz w:val="20"/>
        </w:rPr>
        <w:t>rejstříku trestů</w:t>
      </w:r>
      <w:r w:rsidRPr="0009227C">
        <w:rPr>
          <w:sz w:val="20"/>
        </w:rPr>
        <w:t xml:space="preserve"> (902 tis.), </w:t>
      </w:r>
      <w:r w:rsidRPr="0009227C">
        <w:rPr>
          <w:b/>
          <w:sz w:val="20"/>
        </w:rPr>
        <w:t>katastru nemovitostí</w:t>
      </w:r>
      <w:r w:rsidRPr="0009227C">
        <w:rPr>
          <w:sz w:val="20"/>
        </w:rPr>
        <w:t xml:space="preserve"> (282 tis.) či </w:t>
      </w:r>
      <w:r w:rsidRPr="0009227C">
        <w:rPr>
          <w:b/>
          <w:sz w:val="20"/>
        </w:rPr>
        <w:t>obchodního rejstříku</w:t>
      </w:r>
      <w:r w:rsidRPr="0009227C">
        <w:rPr>
          <w:sz w:val="20"/>
        </w:rPr>
        <w:t xml:space="preserve"> (180 tis.). Jak v případě výpisů z katastru nemovitostí, tak i z obchodního rejstříku, lze v posledních letech pozorovat pokles počtu jejich požadovaných vydání. Např. v roce 2010 bylo na kontaktních pracovištích Czech POINT vydáno o polovinu (téměř 450 tisíc) více výpisů z katastru nemovitostí než v roce 2017 a v případě výpisů z obchodního rejstříku za stejné období dokonce o 80 % více.</w:t>
      </w:r>
    </w:p>
    <w:p w:rsidR="00F34076" w:rsidRPr="0000661F" w:rsidRDefault="00F34076" w:rsidP="0000661F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3" w:name="_Toc524684569"/>
      <w:r w:rsidRPr="0000661F">
        <w:rPr>
          <w:color w:val="FFFFFF" w:themeColor="background1"/>
          <w:sz w:val="4"/>
          <w:szCs w:val="4"/>
        </w:rPr>
        <w:t>Graf E</w:t>
      </w:r>
      <w:r w:rsidRPr="0000661F">
        <w:rPr>
          <w:color w:val="FFFFFF" w:themeColor="background1"/>
          <w:sz w:val="4"/>
          <w:szCs w:val="4"/>
        </w:rPr>
        <w:fldChar w:fldCharType="begin"/>
      </w:r>
      <w:r w:rsidRPr="0000661F">
        <w:rPr>
          <w:color w:val="FFFFFF" w:themeColor="background1"/>
          <w:sz w:val="4"/>
          <w:szCs w:val="4"/>
        </w:rPr>
        <w:instrText xml:space="preserve"> SEQ Graf_E \* ARABIC </w:instrText>
      </w:r>
      <w:r w:rsidRPr="0000661F">
        <w:rPr>
          <w:color w:val="FFFFFF" w:themeColor="background1"/>
          <w:sz w:val="4"/>
          <w:szCs w:val="4"/>
        </w:rPr>
        <w:fldChar w:fldCharType="separate"/>
      </w:r>
      <w:r w:rsidR="007B0363">
        <w:rPr>
          <w:noProof/>
          <w:color w:val="FFFFFF" w:themeColor="background1"/>
          <w:sz w:val="4"/>
          <w:szCs w:val="4"/>
        </w:rPr>
        <w:t>1</w:t>
      </w:r>
      <w:r w:rsidRPr="0000661F">
        <w:rPr>
          <w:color w:val="FFFFFF" w:themeColor="background1"/>
          <w:sz w:val="4"/>
          <w:szCs w:val="4"/>
        </w:rPr>
        <w:fldChar w:fldCharType="end"/>
      </w:r>
      <w:r w:rsidR="0000661F" w:rsidRPr="0000661F">
        <w:rPr>
          <w:color w:val="FFFFFF" w:themeColor="background1"/>
          <w:sz w:val="4"/>
          <w:szCs w:val="4"/>
        </w:rPr>
        <w:t xml:space="preserve"> </w:t>
      </w:r>
      <w:proofErr w:type="spellStart"/>
      <w:r w:rsidR="0000661F" w:rsidRPr="0000661F">
        <w:rPr>
          <w:color w:val="FFFFFF" w:themeColor="background1"/>
          <w:sz w:val="4"/>
          <w:szCs w:val="4"/>
          <w:lang w:val="en-US"/>
        </w:rPr>
        <w:t>Výpisy</w:t>
      </w:r>
      <w:proofErr w:type="spellEnd"/>
      <w:r w:rsidR="0000661F" w:rsidRPr="0000661F">
        <w:rPr>
          <w:color w:val="FFFFFF" w:themeColor="background1"/>
          <w:sz w:val="4"/>
          <w:szCs w:val="4"/>
          <w:lang w:val="en-US"/>
        </w:rPr>
        <w:t xml:space="preserve"> z </w:t>
      </w:r>
      <w:r w:rsidR="0000661F" w:rsidRPr="0000661F">
        <w:rPr>
          <w:color w:val="FFFFFF" w:themeColor="background1"/>
          <w:sz w:val="4"/>
          <w:szCs w:val="4"/>
        </w:rPr>
        <w:t xml:space="preserve">vybraných rejstříků poskytnuté občanům prostřednictvím </w:t>
      </w:r>
      <w:proofErr w:type="spellStart"/>
      <w:r w:rsidR="0000661F" w:rsidRPr="0000661F">
        <w:rPr>
          <w:color w:val="FFFFFF" w:themeColor="background1"/>
          <w:sz w:val="4"/>
          <w:szCs w:val="4"/>
          <w:lang w:val="en-US"/>
        </w:rPr>
        <w:t>kontaktních</w:t>
      </w:r>
      <w:proofErr w:type="spellEnd"/>
      <w:r w:rsidR="0000661F" w:rsidRPr="0000661F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="0000661F" w:rsidRPr="0000661F">
        <w:rPr>
          <w:color w:val="FFFFFF" w:themeColor="background1"/>
          <w:sz w:val="4"/>
          <w:szCs w:val="4"/>
          <w:lang w:val="en-US"/>
        </w:rPr>
        <w:t>míst</w:t>
      </w:r>
      <w:proofErr w:type="spellEnd"/>
      <w:r w:rsidR="0000661F" w:rsidRPr="0000661F">
        <w:rPr>
          <w:color w:val="FFFFFF" w:themeColor="background1"/>
          <w:sz w:val="4"/>
          <w:szCs w:val="4"/>
          <w:lang w:val="en-US"/>
        </w:rPr>
        <w:t xml:space="preserve"> Czech</w:t>
      </w:r>
      <w:r w:rsidR="0000661F" w:rsidRPr="0000661F">
        <w:rPr>
          <w:color w:val="FFFFFF" w:themeColor="background1"/>
          <w:sz w:val="4"/>
          <w:szCs w:val="4"/>
        </w:rPr>
        <w:t xml:space="preserve"> </w:t>
      </w:r>
      <w:r w:rsidR="0000661F" w:rsidRPr="0000661F">
        <w:rPr>
          <w:color w:val="FFFFFF" w:themeColor="background1"/>
          <w:sz w:val="4"/>
          <w:szCs w:val="4"/>
          <w:lang w:val="en-US"/>
        </w:rPr>
        <w:t>P</w:t>
      </w:r>
      <w:r w:rsidR="0000661F" w:rsidRPr="0000661F">
        <w:rPr>
          <w:color w:val="FFFFFF" w:themeColor="background1"/>
          <w:sz w:val="4"/>
          <w:szCs w:val="4"/>
        </w:rPr>
        <w:t>OINT</w:t>
      </w:r>
      <w:bookmarkEnd w:id="3"/>
    </w:p>
    <w:p w:rsidR="0000661F" w:rsidRPr="0000661F" w:rsidRDefault="0000661F" w:rsidP="0000661F">
      <w:pPr>
        <w:pStyle w:val="Titulek"/>
        <w:spacing w:after="0"/>
        <w:jc w:val="both"/>
        <w:rPr>
          <w:color w:val="FFFFFF" w:themeColor="background1"/>
          <w:sz w:val="4"/>
          <w:szCs w:val="4"/>
        </w:rPr>
      </w:pPr>
      <w:bookmarkStart w:id="4" w:name="_Toc524684570"/>
      <w:r w:rsidRPr="0000661F">
        <w:rPr>
          <w:color w:val="FFFFFF" w:themeColor="background1"/>
          <w:sz w:val="4"/>
          <w:szCs w:val="4"/>
        </w:rPr>
        <w:t>Graf E</w:t>
      </w:r>
      <w:r w:rsidRPr="0000661F">
        <w:rPr>
          <w:color w:val="FFFFFF" w:themeColor="background1"/>
          <w:sz w:val="4"/>
          <w:szCs w:val="4"/>
        </w:rPr>
        <w:fldChar w:fldCharType="begin"/>
      </w:r>
      <w:r w:rsidRPr="0000661F">
        <w:rPr>
          <w:color w:val="FFFFFF" w:themeColor="background1"/>
          <w:sz w:val="4"/>
          <w:szCs w:val="4"/>
        </w:rPr>
        <w:instrText xml:space="preserve"> SEQ Graf_E \* ARABIC </w:instrText>
      </w:r>
      <w:r w:rsidRPr="0000661F">
        <w:rPr>
          <w:color w:val="FFFFFF" w:themeColor="background1"/>
          <w:sz w:val="4"/>
          <w:szCs w:val="4"/>
        </w:rPr>
        <w:fldChar w:fldCharType="separate"/>
      </w:r>
      <w:r w:rsidR="007B0363">
        <w:rPr>
          <w:noProof/>
          <w:color w:val="FFFFFF" w:themeColor="background1"/>
          <w:sz w:val="4"/>
          <w:szCs w:val="4"/>
        </w:rPr>
        <w:t>2</w:t>
      </w:r>
      <w:r w:rsidRPr="0000661F">
        <w:rPr>
          <w:color w:val="FFFFFF" w:themeColor="background1"/>
          <w:sz w:val="4"/>
          <w:szCs w:val="4"/>
        </w:rPr>
        <w:fldChar w:fldCharType="end"/>
      </w:r>
      <w:r w:rsidRPr="0000661F">
        <w:rPr>
          <w:color w:val="FFFFFF" w:themeColor="background1"/>
          <w:sz w:val="4"/>
          <w:szCs w:val="4"/>
        </w:rPr>
        <w:t xml:space="preserve"> Autorizované konverze dokumentů poskytnuté </w:t>
      </w:r>
      <w:proofErr w:type="gramStart"/>
      <w:r w:rsidRPr="0000661F">
        <w:rPr>
          <w:color w:val="FFFFFF" w:themeColor="background1"/>
          <w:sz w:val="4"/>
          <w:szCs w:val="4"/>
        </w:rPr>
        <w:t>občanům  prostřednictvím</w:t>
      </w:r>
      <w:proofErr w:type="gramEnd"/>
      <w:r w:rsidRPr="0000661F">
        <w:rPr>
          <w:color w:val="FFFFFF" w:themeColor="background1"/>
          <w:sz w:val="4"/>
          <w:szCs w:val="4"/>
        </w:rPr>
        <w:t xml:space="preserve"> </w:t>
      </w:r>
      <w:proofErr w:type="spellStart"/>
      <w:r w:rsidRPr="0000661F">
        <w:rPr>
          <w:color w:val="FFFFFF" w:themeColor="background1"/>
          <w:sz w:val="4"/>
          <w:szCs w:val="4"/>
          <w:lang w:val="en-US"/>
        </w:rPr>
        <w:t>kontaktních</w:t>
      </w:r>
      <w:proofErr w:type="spellEnd"/>
      <w:r w:rsidRPr="0000661F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00661F">
        <w:rPr>
          <w:color w:val="FFFFFF" w:themeColor="background1"/>
          <w:sz w:val="4"/>
          <w:szCs w:val="4"/>
          <w:lang w:val="en-US"/>
        </w:rPr>
        <w:t>míst</w:t>
      </w:r>
      <w:proofErr w:type="spellEnd"/>
      <w:r w:rsidRPr="0000661F">
        <w:rPr>
          <w:color w:val="FFFFFF" w:themeColor="background1"/>
          <w:sz w:val="4"/>
          <w:szCs w:val="4"/>
          <w:lang w:val="en-US"/>
        </w:rPr>
        <w:t xml:space="preserve"> Czech</w:t>
      </w:r>
      <w:r w:rsidRPr="0000661F">
        <w:rPr>
          <w:color w:val="FFFFFF" w:themeColor="background1"/>
          <w:sz w:val="4"/>
          <w:szCs w:val="4"/>
        </w:rPr>
        <w:t xml:space="preserve"> </w:t>
      </w:r>
      <w:r w:rsidRPr="0000661F">
        <w:rPr>
          <w:color w:val="FFFFFF" w:themeColor="background1"/>
          <w:sz w:val="4"/>
          <w:szCs w:val="4"/>
          <w:lang w:val="en-US"/>
        </w:rPr>
        <w:t>P</w:t>
      </w:r>
      <w:r w:rsidRPr="0000661F">
        <w:rPr>
          <w:color w:val="FFFFFF" w:themeColor="background1"/>
          <w:sz w:val="4"/>
          <w:szCs w:val="4"/>
        </w:rPr>
        <w:t>OINT</w:t>
      </w:r>
      <w:bookmarkEnd w:id="4"/>
    </w:p>
    <w:p w:rsidR="008F1C09" w:rsidRPr="0009227C" w:rsidRDefault="008F1C09" w:rsidP="0000661F">
      <w:pPr>
        <w:pStyle w:val="Zkladntext"/>
        <w:keepNext/>
        <w:spacing w:before="0" w:line="264" w:lineRule="auto"/>
        <w:rPr>
          <w:sz w:val="20"/>
        </w:rPr>
      </w:pPr>
      <w:r w:rsidRPr="0009227C">
        <w:rPr>
          <w:noProof/>
        </w:rPr>
        <w:drawing>
          <wp:inline distT="0" distB="0" distL="0" distR="0" wp14:anchorId="3D11D7A1" wp14:editId="708A1E3E">
            <wp:extent cx="3042000" cy="2520000"/>
            <wp:effectExtent l="0" t="0" r="6350" b="0"/>
            <wp:docPr id="139" name="Graf 13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9227C">
        <w:rPr>
          <w:noProof/>
        </w:rPr>
        <w:drawing>
          <wp:inline distT="0" distB="0" distL="0" distR="0" wp14:anchorId="7DB719CB" wp14:editId="746588E3">
            <wp:extent cx="3042000" cy="2520000"/>
            <wp:effectExtent l="0" t="0" r="6350" b="0"/>
            <wp:docPr id="140" name="Graf 14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Zatímco celkový počet vydaných výstupů občanům prostřednictvím kontaktních pracovišť Czech POINT se v posledních letech výrazně nemění, počet autorizovaných převodů dokumentů, především </w:t>
      </w:r>
      <w:r w:rsidRPr="0009227C">
        <w:rPr>
          <w:b/>
          <w:sz w:val="20"/>
        </w:rPr>
        <w:t>z listinné do elektronické podoby</w:t>
      </w:r>
      <w:r w:rsidRPr="0009227C">
        <w:rPr>
          <w:sz w:val="20"/>
        </w:rPr>
        <w:t>, stále každoročně výrazně narůstá. V roce 2017 bylo pro občany takto převedeno téměř 200 tisíc listinných dokumentů oproti 50 tisícům v roce 2012.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Od roku 2009 mohou úředníci veřejné správy na svých pracovištích využívat pro výkon své působnosti neveřejné rozhraní systému Czech POINT, tzv. </w:t>
      </w:r>
      <w:r w:rsidRPr="0009227C">
        <w:rPr>
          <w:b/>
          <w:sz w:val="20"/>
        </w:rPr>
        <w:t xml:space="preserve">Czech </w:t>
      </w:r>
      <w:proofErr w:type="spellStart"/>
      <w:r w:rsidRPr="0009227C">
        <w:rPr>
          <w:b/>
          <w:sz w:val="20"/>
        </w:rPr>
        <w:t>Point@office</w:t>
      </w:r>
      <w:proofErr w:type="spellEnd"/>
      <w:r w:rsidRPr="0009227C">
        <w:rPr>
          <w:sz w:val="20"/>
        </w:rPr>
        <w:t>,</w:t>
      </w:r>
      <w:r w:rsidRPr="0009227C">
        <w:rPr>
          <w:b/>
          <w:sz w:val="20"/>
        </w:rPr>
        <w:t xml:space="preserve"> </w:t>
      </w:r>
      <w:r w:rsidRPr="0009227C">
        <w:rPr>
          <w:sz w:val="20"/>
        </w:rPr>
        <w:t xml:space="preserve">kde úředník samostatně čerpá informace, ověřuje a předkládá podání v rámci </w:t>
      </w:r>
      <w:proofErr w:type="spellStart"/>
      <w:r w:rsidRPr="0009227C">
        <w:rPr>
          <w:sz w:val="20"/>
        </w:rPr>
        <w:t>eGovernmentu</w:t>
      </w:r>
      <w:proofErr w:type="spellEnd"/>
      <w:r w:rsidRPr="0009227C">
        <w:rPr>
          <w:b/>
          <w:sz w:val="20"/>
        </w:rPr>
        <w:t xml:space="preserve">. </w:t>
      </w:r>
      <w:r w:rsidRPr="0009227C">
        <w:rPr>
          <w:sz w:val="20"/>
        </w:rPr>
        <w:t xml:space="preserve">V roce 2017 využili úředníci veřejné správy tuto možnost pro autorizovanou konverzi dokumentů, zápisů do agend matrik, ohlašoven či soudů nebo pro výpisy ze základních registrů, celkem pro 6,3 miliónu </w:t>
      </w:r>
      <w:r w:rsidRPr="0009227C">
        <w:rPr>
          <w:b/>
          <w:sz w:val="20"/>
        </w:rPr>
        <w:t>výstupů</w:t>
      </w:r>
      <w:r w:rsidRPr="0009227C">
        <w:rPr>
          <w:sz w:val="20"/>
        </w:rPr>
        <w:t xml:space="preserve">. 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Ve většině případů je neveřejná služba poskytovaná prostřednictvím rozhraní (aplikace) </w:t>
      </w:r>
      <w:proofErr w:type="spellStart"/>
      <w:r w:rsidRPr="0009227C">
        <w:rPr>
          <w:sz w:val="20"/>
        </w:rPr>
        <w:t>CzechPoint@office</w:t>
      </w:r>
      <w:proofErr w:type="spellEnd"/>
      <w:r w:rsidRPr="0009227C">
        <w:rPr>
          <w:sz w:val="20"/>
        </w:rPr>
        <w:t xml:space="preserve"> využívaná pro převod dokumentů z elektronické do listinné podoby a naopak. V roce 2017 bylo provedeno 5 miliónů takových </w:t>
      </w:r>
      <w:r w:rsidRPr="0009227C">
        <w:rPr>
          <w:b/>
          <w:sz w:val="20"/>
        </w:rPr>
        <w:t>autorizovaných konverzí</w:t>
      </w:r>
      <w:r w:rsidRPr="0009227C">
        <w:rPr>
          <w:sz w:val="20"/>
        </w:rPr>
        <w:t xml:space="preserve">. </w:t>
      </w:r>
    </w:p>
    <w:p w:rsidR="007B0363" w:rsidRDefault="007B0363" w:rsidP="007B0363">
      <w:pPr>
        <w:pStyle w:val="Titulek"/>
        <w:keepNext/>
        <w:jc w:val="both"/>
        <w:sectPr w:rsidR="007B0363" w:rsidSect="001C1B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134" w:right="1134" w:bottom="1418" w:left="1134" w:header="680" w:footer="680" w:gutter="0"/>
          <w:pgNumType w:start="70"/>
          <w:cols w:space="708"/>
          <w:docGrid w:linePitch="360"/>
        </w:sectPr>
      </w:pPr>
    </w:p>
    <w:p w:rsidR="007B0363" w:rsidRPr="007B0363" w:rsidRDefault="007B0363" w:rsidP="007B0363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5" w:name="_Toc524684571"/>
      <w:r w:rsidRPr="007B0363">
        <w:rPr>
          <w:color w:val="FFFFFF" w:themeColor="background1"/>
          <w:sz w:val="4"/>
          <w:szCs w:val="4"/>
        </w:rPr>
        <w:lastRenderedPageBreak/>
        <w:t>Graf E</w:t>
      </w:r>
      <w:r w:rsidRPr="007B0363">
        <w:rPr>
          <w:color w:val="FFFFFF" w:themeColor="background1"/>
          <w:sz w:val="4"/>
          <w:szCs w:val="4"/>
        </w:rPr>
        <w:fldChar w:fldCharType="begin"/>
      </w:r>
      <w:r w:rsidRPr="007B0363">
        <w:rPr>
          <w:color w:val="FFFFFF" w:themeColor="background1"/>
          <w:sz w:val="4"/>
          <w:szCs w:val="4"/>
        </w:rPr>
        <w:instrText xml:space="preserve"> SEQ Graf_E \* ARABIC </w:instrText>
      </w:r>
      <w:r w:rsidRPr="007B0363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3</w:t>
      </w:r>
      <w:r w:rsidRPr="007B0363">
        <w:rPr>
          <w:color w:val="FFFFFF" w:themeColor="background1"/>
          <w:sz w:val="4"/>
          <w:szCs w:val="4"/>
        </w:rPr>
        <w:fldChar w:fldCharType="end"/>
      </w:r>
      <w:r w:rsidRPr="007B0363">
        <w:rPr>
          <w:color w:val="FFFFFF" w:themeColor="background1"/>
          <w:sz w:val="4"/>
          <w:szCs w:val="4"/>
        </w:rPr>
        <w:t xml:space="preserve"> Zápisy </w:t>
      </w:r>
      <w:r w:rsidRPr="007B0363">
        <w:rPr>
          <w:color w:val="FFFFFF" w:themeColor="background1"/>
          <w:sz w:val="4"/>
          <w:szCs w:val="4"/>
          <w:lang w:val="en-US"/>
        </w:rPr>
        <w:t xml:space="preserve">z </w:t>
      </w:r>
      <w:r w:rsidRPr="007B0363">
        <w:rPr>
          <w:color w:val="FFFFFF" w:themeColor="background1"/>
          <w:sz w:val="4"/>
          <w:szCs w:val="4"/>
        </w:rPr>
        <w:t xml:space="preserve">moci úřední vybraných agend provedené úředníky prostřednictvím neveřejné aplikace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CzechP</w:t>
      </w:r>
      <w:r w:rsidRPr="007B0363">
        <w:rPr>
          <w:color w:val="FFFFFF" w:themeColor="background1"/>
          <w:sz w:val="4"/>
          <w:szCs w:val="4"/>
        </w:rPr>
        <w:t>OINT@office</w:t>
      </w:r>
      <w:bookmarkEnd w:id="5"/>
      <w:proofErr w:type="spellEnd"/>
    </w:p>
    <w:p w:rsidR="007B0363" w:rsidRDefault="008F1C09" w:rsidP="008F1C09">
      <w:pPr>
        <w:pStyle w:val="Zkladntext"/>
        <w:spacing w:before="0" w:after="100" w:line="264" w:lineRule="auto"/>
      </w:pPr>
      <w:r w:rsidRPr="0009227C">
        <w:rPr>
          <w:noProof/>
        </w:rPr>
        <w:drawing>
          <wp:inline distT="0" distB="0" distL="0" distR="0" wp14:anchorId="76416E50" wp14:editId="4731EB06">
            <wp:extent cx="3042000" cy="2520000"/>
            <wp:effectExtent l="0" t="0" r="6350" b="0"/>
            <wp:docPr id="141" name="Graf 14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B0363" w:rsidRPr="007B0363" w:rsidRDefault="007B0363" w:rsidP="007B0363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6" w:name="_Toc524684572"/>
      <w:r w:rsidRPr="007B0363">
        <w:rPr>
          <w:color w:val="FFFFFF" w:themeColor="background1"/>
          <w:sz w:val="4"/>
          <w:szCs w:val="4"/>
        </w:rPr>
        <w:lastRenderedPageBreak/>
        <w:t>Graf E</w:t>
      </w:r>
      <w:r w:rsidRPr="007B0363">
        <w:rPr>
          <w:color w:val="FFFFFF" w:themeColor="background1"/>
          <w:sz w:val="4"/>
          <w:szCs w:val="4"/>
        </w:rPr>
        <w:fldChar w:fldCharType="begin"/>
      </w:r>
      <w:r w:rsidRPr="007B0363">
        <w:rPr>
          <w:color w:val="FFFFFF" w:themeColor="background1"/>
          <w:sz w:val="4"/>
          <w:szCs w:val="4"/>
        </w:rPr>
        <w:instrText xml:space="preserve"> SEQ Graf_E \* ARABIC </w:instrText>
      </w:r>
      <w:r w:rsidRPr="007B0363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4</w:t>
      </w:r>
      <w:r w:rsidRPr="007B0363">
        <w:rPr>
          <w:color w:val="FFFFFF" w:themeColor="background1"/>
          <w:sz w:val="4"/>
          <w:szCs w:val="4"/>
        </w:rPr>
        <w:fldChar w:fldCharType="end"/>
      </w:r>
      <w:r w:rsidRPr="007B0363">
        <w:rPr>
          <w:color w:val="FFFFFF" w:themeColor="background1"/>
          <w:sz w:val="4"/>
          <w:szCs w:val="4"/>
        </w:rPr>
        <w:t xml:space="preserve"> Autorizované konverze dokumentů provedené úředníky prostřednictvím neveřejné aplikace Czech </w:t>
      </w:r>
      <w:proofErr w:type="spellStart"/>
      <w:r w:rsidRPr="007B0363">
        <w:rPr>
          <w:color w:val="FFFFFF" w:themeColor="background1"/>
          <w:sz w:val="4"/>
          <w:szCs w:val="4"/>
        </w:rPr>
        <w:t>Point@office</w:t>
      </w:r>
      <w:bookmarkEnd w:id="6"/>
      <w:proofErr w:type="spellEnd"/>
    </w:p>
    <w:p w:rsidR="008F1C09" w:rsidRPr="00CF7C1A" w:rsidRDefault="008F1C09" w:rsidP="008F1C09">
      <w:pPr>
        <w:pStyle w:val="Zkladntext"/>
        <w:spacing w:before="0" w:after="100" w:line="264" w:lineRule="auto"/>
        <w:rPr>
          <w:sz w:val="20"/>
        </w:rPr>
      </w:pPr>
      <w:r w:rsidRPr="0009227C">
        <w:rPr>
          <w:noProof/>
        </w:rPr>
        <w:drawing>
          <wp:inline distT="0" distB="0" distL="0" distR="0" wp14:anchorId="611217AD" wp14:editId="0E23212A">
            <wp:extent cx="3042000" cy="2520000"/>
            <wp:effectExtent l="0" t="0" r="6350" b="0"/>
            <wp:docPr id="142" name="Graf 14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B0363" w:rsidRDefault="007B0363" w:rsidP="008F1C09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</w:rPr>
        <w:sectPr w:rsidR="007B0363" w:rsidSect="007B0363">
          <w:type w:val="continuous"/>
          <w:pgSz w:w="11906" w:h="16838" w:code="9"/>
          <w:pgMar w:top="1134" w:right="1134" w:bottom="1418" w:left="1134" w:header="680" w:footer="680" w:gutter="0"/>
          <w:cols w:num="2" w:space="708"/>
          <w:docGrid w:linePitch="360"/>
        </w:sectPr>
      </w:pP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lastRenderedPageBreak/>
        <w:t xml:space="preserve">V menší míře je tato služba využívaná i pro tzv. </w:t>
      </w:r>
      <w:r w:rsidRPr="0009227C">
        <w:rPr>
          <w:b/>
          <w:sz w:val="20"/>
        </w:rPr>
        <w:t>výpisy (zápisy)</w:t>
      </w:r>
      <w:r w:rsidRPr="0009227C">
        <w:rPr>
          <w:sz w:val="20"/>
        </w:rPr>
        <w:t xml:space="preserve"> </w:t>
      </w:r>
      <w:r w:rsidRPr="0009227C">
        <w:rPr>
          <w:b/>
          <w:sz w:val="20"/>
        </w:rPr>
        <w:t xml:space="preserve">z moci úřední </w:t>
      </w:r>
      <w:r w:rsidRPr="0009227C">
        <w:rPr>
          <w:sz w:val="20"/>
        </w:rPr>
        <w:t>vybraných agend</w:t>
      </w:r>
      <w:r w:rsidRPr="0009227C">
        <w:rPr>
          <w:b/>
          <w:sz w:val="20"/>
        </w:rPr>
        <w:t xml:space="preserve">. </w:t>
      </w:r>
      <w:r w:rsidRPr="0009227C">
        <w:rPr>
          <w:sz w:val="20"/>
        </w:rPr>
        <w:t xml:space="preserve">V roce 2017 úředníci tuto možnost využili celkem téměř v jednom miliónu případů. Nejčastěji šlo o výpisy z moci úřední v rámci </w:t>
      </w:r>
      <w:r w:rsidRPr="0009227C">
        <w:rPr>
          <w:b/>
          <w:sz w:val="20"/>
        </w:rPr>
        <w:t>agend matrik</w:t>
      </w:r>
      <w:r w:rsidRPr="0009227C">
        <w:rPr>
          <w:sz w:val="20"/>
        </w:rPr>
        <w:t xml:space="preserve"> (zápisy údajů o narození, úmrtí, manželství a registrovaném partnerství) a </w:t>
      </w:r>
      <w:r w:rsidRPr="0009227C">
        <w:rPr>
          <w:b/>
          <w:sz w:val="20"/>
        </w:rPr>
        <w:t>agend ohlašoven</w:t>
      </w:r>
      <w:r w:rsidRPr="0009227C">
        <w:rPr>
          <w:sz w:val="20"/>
        </w:rPr>
        <w:t xml:space="preserve"> (z</w:t>
      </w:r>
      <w:r w:rsidRPr="0009227C">
        <w:rPr>
          <w:iCs/>
          <w:sz w:val="20"/>
        </w:rPr>
        <w:t>ápisy doručovací adresy a adresy místa trvalého pobytu)</w:t>
      </w:r>
      <w:r w:rsidRPr="0009227C">
        <w:rPr>
          <w:sz w:val="20"/>
        </w:rPr>
        <w:t xml:space="preserve">. U obou těchto agend využili úředníci tuto možnost v roce 2017 ve více jak 400 tisících případů. V menší míře je tato možnost pak využívaná v rámci </w:t>
      </w:r>
      <w:r w:rsidRPr="0009227C">
        <w:rPr>
          <w:b/>
          <w:sz w:val="20"/>
        </w:rPr>
        <w:t>agend soudů</w:t>
      </w:r>
      <w:r w:rsidRPr="0009227C">
        <w:rPr>
          <w:sz w:val="20"/>
        </w:rPr>
        <w:t xml:space="preserve"> pro zápis neplatnosti, zrušení, neexistenci manželství či registrovaného partnerství a omezení nebo zbavení způsobilosti k právním úkonům.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  <w:tab w:val="num" w:pos="284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Nejnovějším rozhraním sytému </w:t>
      </w:r>
      <w:proofErr w:type="spellStart"/>
      <w:r w:rsidRPr="0009227C">
        <w:rPr>
          <w:sz w:val="20"/>
        </w:rPr>
        <w:t>CzechPOINT</w:t>
      </w:r>
      <w:proofErr w:type="spellEnd"/>
      <w:r w:rsidRPr="0009227C">
        <w:rPr>
          <w:sz w:val="20"/>
        </w:rPr>
        <w:t xml:space="preserve"> je od roku 2012 webová aplikace </w:t>
      </w:r>
      <w:proofErr w:type="spellStart"/>
      <w:r w:rsidRPr="0009227C">
        <w:rPr>
          <w:b/>
          <w:sz w:val="20"/>
        </w:rPr>
        <w:t>CzechPOINT@home</w:t>
      </w:r>
      <w:proofErr w:type="spellEnd"/>
      <w:r w:rsidRPr="0009227C">
        <w:rPr>
          <w:b/>
          <w:sz w:val="20"/>
        </w:rPr>
        <w:t xml:space="preserve">, internetové kontaktní místo </w:t>
      </w:r>
      <w:r w:rsidRPr="0009227C">
        <w:rPr>
          <w:sz w:val="20"/>
        </w:rPr>
        <w:t>určené pro občany s datovou schránkou, kteří mohou prostřednictvím formulářů umístěných na tomto rozhraní dálkově získat některé výpisy z veřejných i neveřejných rejstříků do své datové schránky, aniž by museli navštívit „kamenné“ kontaktní pracoviště Czech POINT. V roce 2017 si občané sami prostřednictvím tohoto rozhraní a svého počítače či mobilu požádali celkem o 14,1 tisíc výstupů. Nejčastěji šlo o výpisy z Bodového hodnocení řidičů (5,4 tis. výpisů) a z Rejstříku trestů (4,6 tis.).</w:t>
      </w:r>
    </w:p>
    <w:p w:rsidR="008F1C09" w:rsidRPr="0009227C" w:rsidRDefault="008F1C09" w:rsidP="008F1C09">
      <w:pPr>
        <w:pStyle w:val="Nadpis2"/>
        <w:spacing w:before="240" w:after="120" w:line="264" w:lineRule="auto"/>
      </w:pPr>
      <w:bookmarkStart w:id="7" w:name="_Toc525303568"/>
      <w:r w:rsidRPr="0009227C">
        <w:t>E. 2 Datové schránky a jejich využití</w:t>
      </w:r>
      <w:bookmarkEnd w:id="7"/>
      <w:r w:rsidRPr="0009227C">
        <w:t xml:space="preserve"> </w:t>
      </w:r>
    </w:p>
    <w:p w:rsidR="008F1C09" w:rsidRPr="0009227C" w:rsidRDefault="008F1C09" w:rsidP="008F1C09">
      <w:pPr>
        <w:pStyle w:val="Zkladntext"/>
        <w:spacing w:before="0" w:after="80" w:line="264" w:lineRule="auto"/>
        <w:rPr>
          <w:i/>
          <w:sz w:val="20"/>
        </w:rPr>
      </w:pPr>
      <w:r w:rsidRPr="0009227C">
        <w:rPr>
          <w:i/>
          <w:sz w:val="20"/>
        </w:rPr>
        <w:t>Od svého uvedení do provozu, v druhé polovině roku 2009, představují datové schránky nový standard pro doručování úředních dokumentů. Datové schránky jsou státem garantovaný komunikační nástroj, který nahrazuje klasické doporučené dopisy a slouží hlavně ke komunikaci s orgány veřejné moci. Pomocí datových schránek je tak možné zasílat dokumenty v elektronické podobě orgánům veřejné moci a také je od nich tímto způsobem přijímat.</w:t>
      </w:r>
      <w:r w:rsidRPr="0009227C">
        <w:rPr>
          <w:rStyle w:val="Znakapoznpodarou"/>
          <w:i/>
          <w:sz w:val="20"/>
        </w:rPr>
        <w:footnoteReference w:id="5"/>
      </w:r>
      <w:r w:rsidRPr="0009227C">
        <w:rPr>
          <w:i/>
          <w:sz w:val="20"/>
        </w:rPr>
        <w:t xml:space="preserve"> </w:t>
      </w:r>
    </w:p>
    <w:p w:rsidR="008F1C09" w:rsidRPr="0009227C" w:rsidRDefault="008F1C09" w:rsidP="008F1C09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09227C">
        <w:t>Do 31. 12. 2017 bylo v Česku zřízeno – kumulativně – celkem 861 tisíc datových schránek. Velká část z nich (361 tis.) byla zřízena již v roce 2009, tj. během prvního roku provozu této služby, a to povinně ze zákona všem orgánům veřejné moci a právnickým osobám zapsaným v obchodním rejstříku. V následujících letech průběžně rostl počet dobrovolných žádostí o zřízení datové schránky a již od roku 2013 převažuje počet subjektů zřizujících své datové schránky dobrovolně nad těmi, kteří tak činí povinně ze zákona.</w:t>
      </w:r>
    </w:p>
    <w:p w:rsidR="008F1C09" w:rsidRPr="0009227C" w:rsidRDefault="008F1C09" w:rsidP="008F1C09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09227C">
        <w:t xml:space="preserve">V průběhu roku 2017 bylo v České republice nově zřízeno 80 tisíc </w:t>
      </w:r>
      <w:r w:rsidRPr="0009227C">
        <w:rPr>
          <w:b/>
        </w:rPr>
        <w:t>datových schránek</w:t>
      </w:r>
      <w:r w:rsidRPr="0009227C">
        <w:t xml:space="preserve">. Větší část z nich (56 %) byla zřízena </w:t>
      </w:r>
      <w:r w:rsidRPr="0009227C">
        <w:rPr>
          <w:b/>
        </w:rPr>
        <w:t>na žádost</w:t>
      </w:r>
      <w:r w:rsidRPr="0009227C">
        <w:t xml:space="preserve">, 44 % nových datových schránek bylo zřízeno </w:t>
      </w:r>
      <w:r w:rsidRPr="0009227C">
        <w:rPr>
          <w:b/>
        </w:rPr>
        <w:t>ze zákona</w:t>
      </w:r>
      <w:r w:rsidRPr="0009227C">
        <w:t xml:space="preserve">. Mezi vlastníky </w:t>
      </w:r>
      <w:r w:rsidRPr="0009227C">
        <w:rPr>
          <w:b/>
        </w:rPr>
        <w:lastRenderedPageBreak/>
        <w:t>nových datových</w:t>
      </w:r>
      <w:r w:rsidRPr="0009227C">
        <w:t xml:space="preserve"> schránek převažují právnické osoby, případně podnikající fyzické osoby. Téměř 23 tisíc datových schránek bylo v roce 2017 zřízeno nepodnikajícím fyzickým osobám (občanům).</w:t>
      </w:r>
    </w:p>
    <w:p w:rsidR="007B0363" w:rsidRPr="007B0363" w:rsidRDefault="007B0363" w:rsidP="007B0363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8" w:name="_Toc524684573"/>
      <w:r w:rsidRPr="007B0363">
        <w:rPr>
          <w:color w:val="FFFFFF" w:themeColor="background1"/>
          <w:sz w:val="4"/>
          <w:szCs w:val="4"/>
        </w:rPr>
        <w:t>Graf E</w:t>
      </w:r>
      <w:r w:rsidRPr="007B0363">
        <w:rPr>
          <w:color w:val="FFFFFF" w:themeColor="background1"/>
          <w:sz w:val="4"/>
          <w:szCs w:val="4"/>
        </w:rPr>
        <w:fldChar w:fldCharType="begin"/>
      </w:r>
      <w:r w:rsidRPr="007B0363">
        <w:rPr>
          <w:color w:val="FFFFFF" w:themeColor="background1"/>
          <w:sz w:val="4"/>
          <w:szCs w:val="4"/>
        </w:rPr>
        <w:instrText xml:space="preserve"> SEQ Graf_E \* ARABIC </w:instrText>
      </w:r>
      <w:r w:rsidRPr="007B0363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5</w:t>
      </w:r>
      <w:r w:rsidRPr="007B0363">
        <w:rPr>
          <w:color w:val="FFFFFF" w:themeColor="background1"/>
          <w:sz w:val="4"/>
          <w:szCs w:val="4"/>
        </w:rPr>
        <w:fldChar w:fldCharType="end"/>
      </w:r>
      <w:r w:rsidRPr="007B0363">
        <w:rPr>
          <w:color w:val="FFFFFF" w:themeColor="background1"/>
          <w:sz w:val="4"/>
          <w:szCs w:val="4"/>
        </w:rPr>
        <w:t xml:space="preserve">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Nově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zřízené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datové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schránky</w:t>
      </w:r>
      <w:proofErr w:type="spellEnd"/>
      <w:r w:rsidRPr="007B0363">
        <w:rPr>
          <w:color w:val="FFFFFF" w:themeColor="background1"/>
          <w:sz w:val="4"/>
          <w:szCs w:val="4"/>
        </w:rPr>
        <w:t xml:space="preserve"> v Česku podle povinnosti jejich zřízení</w:t>
      </w:r>
      <w:bookmarkEnd w:id="8"/>
    </w:p>
    <w:p w:rsidR="007B0363" w:rsidRPr="007B0363" w:rsidRDefault="007B0363" w:rsidP="007B0363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9" w:name="_Toc524684574"/>
      <w:r w:rsidRPr="007B0363">
        <w:rPr>
          <w:color w:val="FFFFFF" w:themeColor="background1"/>
          <w:sz w:val="4"/>
          <w:szCs w:val="4"/>
        </w:rPr>
        <w:t>Graf E</w:t>
      </w:r>
      <w:r w:rsidRPr="007B0363">
        <w:rPr>
          <w:color w:val="FFFFFF" w:themeColor="background1"/>
          <w:sz w:val="4"/>
          <w:szCs w:val="4"/>
        </w:rPr>
        <w:fldChar w:fldCharType="begin"/>
      </w:r>
      <w:r w:rsidRPr="007B0363">
        <w:rPr>
          <w:color w:val="FFFFFF" w:themeColor="background1"/>
          <w:sz w:val="4"/>
          <w:szCs w:val="4"/>
        </w:rPr>
        <w:instrText xml:space="preserve"> SEQ Graf_E \* ARABIC </w:instrText>
      </w:r>
      <w:r w:rsidRPr="007B0363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6</w:t>
      </w:r>
      <w:r w:rsidRPr="007B0363">
        <w:rPr>
          <w:color w:val="FFFFFF" w:themeColor="background1"/>
          <w:sz w:val="4"/>
          <w:szCs w:val="4"/>
        </w:rPr>
        <w:fldChar w:fldCharType="end"/>
      </w:r>
      <w:r w:rsidRPr="007B0363">
        <w:rPr>
          <w:color w:val="FFFFFF" w:themeColor="background1"/>
          <w:sz w:val="4"/>
          <w:szCs w:val="4"/>
        </w:rPr>
        <w:t xml:space="preserve"> N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ově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zřízené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datové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schránky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 </w:t>
      </w:r>
      <w:r w:rsidRPr="007B0363">
        <w:rPr>
          <w:color w:val="FFFFFF" w:themeColor="background1"/>
          <w:sz w:val="4"/>
          <w:szCs w:val="4"/>
        </w:rPr>
        <w:t xml:space="preserve">v Česku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podle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typu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subjektu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,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kterým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byly</w:t>
      </w:r>
      <w:proofErr w:type="spellEnd"/>
      <w:r w:rsidRPr="007B0363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7B0363">
        <w:rPr>
          <w:color w:val="FFFFFF" w:themeColor="background1"/>
          <w:sz w:val="4"/>
          <w:szCs w:val="4"/>
          <w:lang w:val="en-US"/>
        </w:rPr>
        <w:t>zřízeny</w:t>
      </w:r>
      <w:bookmarkEnd w:id="9"/>
      <w:proofErr w:type="spellEnd"/>
    </w:p>
    <w:p w:rsidR="008F1C09" w:rsidRPr="0009227C" w:rsidRDefault="008F1C09" w:rsidP="008F1C09">
      <w:pPr>
        <w:tabs>
          <w:tab w:val="num" w:pos="284"/>
        </w:tabs>
        <w:autoSpaceDE w:val="0"/>
        <w:autoSpaceDN w:val="0"/>
        <w:adjustRightInd w:val="0"/>
        <w:spacing w:after="100" w:line="264" w:lineRule="auto"/>
        <w:jc w:val="both"/>
      </w:pPr>
      <w:r w:rsidRPr="0009227C">
        <w:rPr>
          <w:noProof/>
        </w:rPr>
        <w:drawing>
          <wp:inline distT="0" distB="0" distL="0" distR="0" wp14:anchorId="74BC0F83" wp14:editId="6DAC0AD3">
            <wp:extent cx="3060000" cy="2520000"/>
            <wp:effectExtent l="0" t="0" r="7620" b="0"/>
            <wp:docPr id="143" name="Graf 14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09227C">
        <w:rPr>
          <w:noProof/>
        </w:rPr>
        <w:drawing>
          <wp:inline distT="0" distB="0" distL="0" distR="0" wp14:anchorId="7C2832C4" wp14:editId="2D307B9F">
            <wp:extent cx="3042000" cy="2520000"/>
            <wp:effectExtent l="0" t="0" r="6350" b="0"/>
            <wp:docPr id="144" name="Graf 14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1C09" w:rsidRPr="0009227C" w:rsidRDefault="008F1C09" w:rsidP="008F1C09">
      <w:pPr>
        <w:numPr>
          <w:ilvl w:val="0"/>
          <w:numId w:val="1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09227C">
        <w:t xml:space="preserve">Rok od roku se zvyšují </w:t>
      </w:r>
      <w:r w:rsidRPr="0009227C">
        <w:rPr>
          <w:b/>
        </w:rPr>
        <w:t>počty transakcí</w:t>
      </w:r>
      <w:r w:rsidRPr="0009227C">
        <w:t>, které jsou přes datové schránky uskutečňovány. Celkově mezi roky 2012 až 2017 vzrostl počet provedených transakcí formou datových schránek více než dvojnásobně, a to ze 45,4 mil. v roce 2012 na 102,8 mil. v roce 2017.</w:t>
      </w:r>
    </w:p>
    <w:p w:rsidR="007B0363" w:rsidRPr="00060678" w:rsidRDefault="007B0363" w:rsidP="008F1C09">
      <w:pPr>
        <w:autoSpaceDE w:val="0"/>
        <w:autoSpaceDN w:val="0"/>
        <w:adjustRightInd w:val="0"/>
        <w:spacing w:after="100" w:line="264" w:lineRule="auto"/>
        <w:jc w:val="both"/>
        <w:rPr>
          <w:sz w:val="18"/>
          <w:szCs w:val="18"/>
        </w:rPr>
      </w:pPr>
    </w:p>
    <w:p w:rsidR="007B0363" w:rsidRPr="00060678" w:rsidRDefault="007B0363" w:rsidP="007B0363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  <w:lang w:val="en-US"/>
        </w:rPr>
      </w:pPr>
      <w:bookmarkStart w:id="10" w:name="_Toc524684575"/>
      <w:r w:rsidRPr="00060678">
        <w:rPr>
          <w:color w:val="FFFFFF" w:themeColor="background1"/>
          <w:sz w:val="4"/>
          <w:szCs w:val="4"/>
        </w:rPr>
        <w:t>Graf E</w:t>
      </w:r>
      <w:r w:rsidRPr="00060678">
        <w:rPr>
          <w:color w:val="FFFFFF" w:themeColor="background1"/>
          <w:sz w:val="4"/>
          <w:szCs w:val="4"/>
        </w:rPr>
        <w:fldChar w:fldCharType="begin"/>
      </w:r>
      <w:r w:rsidRPr="00060678">
        <w:rPr>
          <w:color w:val="FFFFFF" w:themeColor="background1"/>
          <w:sz w:val="4"/>
          <w:szCs w:val="4"/>
        </w:rPr>
        <w:instrText xml:space="preserve"> SEQ Graf_E \* ARABIC </w:instrText>
      </w:r>
      <w:r w:rsidRPr="00060678">
        <w:rPr>
          <w:color w:val="FFFFFF" w:themeColor="background1"/>
          <w:sz w:val="4"/>
          <w:szCs w:val="4"/>
        </w:rPr>
        <w:fldChar w:fldCharType="separate"/>
      </w:r>
      <w:r w:rsidRPr="00060678">
        <w:rPr>
          <w:noProof/>
          <w:color w:val="FFFFFF" w:themeColor="background1"/>
          <w:sz w:val="4"/>
          <w:szCs w:val="4"/>
        </w:rPr>
        <w:t>7</w:t>
      </w:r>
      <w:r w:rsidRPr="00060678">
        <w:rPr>
          <w:color w:val="FFFFFF" w:themeColor="background1"/>
          <w:sz w:val="4"/>
          <w:szCs w:val="4"/>
        </w:rPr>
        <w:fldChar w:fldCharType="end"/>
      </w:r>
      <w:r w:rsidRPr="00060678">
        <w:rPr>
          <w:color w:val="FFFFFF" w:themeColor="background1"/>
          <w:sz w:val="4"/>
          <w:szCs w:val="4"/>
        </w:rPr>
        <w:t xml:space="preserve"> </w:t>
      </w:r>
      <w:proofErr w:type="spellStart"/>
      <w:r w:rsidRPr="00060678">
        <w:rPr>
          <w:color w:val="FFFFFF" w:themeColor="background1"/>
          <w:sz w:val="4"/>
          <w:szCs w:val="4"/>
          <w:lang w:val="en-US"/>
        </w:rPr>
        <w:t>Transakce</w:t>
      </w:r>
      <w:proofErr w:type="spellEnd"/>
      <w:r w:rsidRPr="00060678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060678">
        <w:rPr>
          <w:color w:val="FFFFFF" w:themeColor="background1"/>
          <w:sz w:val="4"/>
          <w:szCs w:val="4"/>
          <w:lang w:val="en-US"/>
        </w:rPr>
        <w:t>provedené</w:t>
      </w:r>
      <w:proofErr w:type="spellEnd"/>
      <w:r w:rsidRPr="00060678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060678">
        <w:rPr>
          <w:color w:val="FFFFFF" w:themeColor="background1"/>
          <w:sz w:val="4"/>
          <w:szCs w:val="4"/>
          <w:lang w:val="en-US"/>
        </w:rPr>
        <w:t>prostřednictvím</w:t>
      </w:r>
      <w:proofErr w:type="spellEnd"/>
      <w:r w:rsidRPr="00060678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060678">
        <w:rPr>
          <w:color w:val="FFFFFF" w:themeColor="background1"/>
          <w:sz w:val="4"/>
          <w:szCs w:val="4"/>
          <w:lang w:val="en-US"/>
        </w:rPr>
        <w:t>datových</w:t>
      </w:r>
      <w:proofErr w:type="spellEnd"/>
      <w:r w:rsidRPr="00060678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060678">
        <w:rPr>
          <w:color w:val="FFFFFF" w:themeColor="background1"/>
          <w:sz w:val="4"/>
          <w:szCs w:val="4"/>
          <w:lang w:val="en-US"/>
        </w:rPr>
        <w:t>schránek</w:t>
      </w:r>
      <w:proofErr w:type="spellEnd"/>
      <w:r w:rsidRPr="00060678">
        <w:rPr>
          <w:color w:val="FFFFFF" w:themeColor="background1"/>
          <w:sz w:val="4"/>
          <w:szCs w:val="4"/>
          <w:lang w:val="en-US"/>
        </w:rPr>
        <w:t xml:space="preserve"> </w:t>
      </w:r>
      <w:r w:rsidRPr="00060678">
        <w:rPr>
          <w:color w:val="FFFFFF" w:themeColor="background1"/>
          <w:sz w:val="4"/>
          <w:szCs w:val="4"/>
        </w:rPr>
        <w:t xml:space="preserve">v Česku </w:t>
      </w:r>
      <w:proofErr w:type="spellStart"/>
      <w:r w:rsidRPr="00060678">
        <w:rPr>
          <w:color w:val="FFFFFF" w:themeColor="background1"/>
          <w:sz w:val="4"/>
          <w:szCs w:val="4"/>
          <w:lang w:val="en-US"/>
        </w:rPr>
        <w:t>podle</w:t>
      </w:r>
      <w:proofErr w:type="spellEnd"/>
      <w:r w:rsidRPr="00060678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060678">
        <w:rPr>
          <w:color w:val="FFFFFF" w:themeColor="background1"/>
          <w:sz w:val="4"/>
          <w:szCs w:val="4"/>
          <w:lang w:val="en-US"/>
        </w:rPr>
        <w:t>jejich</w:t>
      </w:r>
      <w:proofErr w:type="spellEnd"/>
      <w:r w:rsidRPr="00060678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060678">
        <w:rPr>
          <w:color w:val="FFFFFF" w:themeColor="background1"/>
          <w:sz w:val="4"/>
          <w:szCs w:val="4"/>
          <w:lang w:val="en-US"/>
        </w:rPr>
        <w:t>vlastníků</w:t>
      </w:r>
      <w:bookmarkEnd w:id="10"/>
      <w:proofErr w:type="spellEnd"/>
      <w:r w:rsidRPr="00060678">
        <w:rPr>
          <w:color w:val="FFFFFF" w:themeColor="background1"/>
          <w:sz w:val="4"/>
          <w:szCs w:val="4"/>
          <w:lang w:val="en-US"/>
        </w:rPr>
        <w:t xml:space="preserve"> </w:t>
      </w:r>
    </w:p>
    <w:p w:rsidR="007B0363" w:rsidRPr="00060678" w:rsidRDefault="007B0363" w:rsidP="007B0363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  <w:lang w:val="en-US"/>
        </w:rPr>
      </w:pPr>
      <w:bookmarkStart w:id="11" w:name="_Toc524684576"/>
      <w:r w:rsidRPr="00060678">
        <w:rPr>
          <w:color w:val="FFFFFF" w:themeColor="background1"/>
          <w:sz w:val="4"/>
          <w:szCs w:val="4"/>
        </w:rPr>
        <w:t>Graf E</w:t>
      </w:r>
      <w:r w:rsidRPr="00060678">
        <w:rPr>
          <w:color w:val="FFFFFF" w:themeColor="background1"/>
          <w:sz w:val="4"/>
          <w:szCs w:val="4"/>
        </w:rPr>
        <w:fldChar w:fldCharType="begin"/>
      </w:r>
      <w:r w:rsidRPr="00060678">
        <w:rPr>
          <w:color w:val="FFFFFF" w:themeColor="background1"/>
          <w:sz w:val="4"/>
          <w:szCs w:val="4"/>
        </w:rPr>
        <w:instrText xml:space="preserve"> SEQ Graf_E \* ARABIC </w:instrText>
      </w:r>
      <w:r w:rsidRPr="00060678">
        <w:rPr>
          <w:color w:val="FFFFFF" w:themeColor="background1"/>
          <w:sz w:val="4"/>
          <w:szCs w:val="4"/>
        </w:rPr>
        <w:fldChar w:fldCharType="separate"/>
      </w:r>
      <w:r w:rsidRPr="00060678">
        <w:rPr>
          <w:noProof/>
          <w:color w:val="FFFFFF" w:themeColor="background1"/>
          <w:sz w:val="4"/>
          <w:szCs w:val="4"/>
        </w:rPr>
        <w:t>8</w:t>
      </w:r>
      <w:r w:rsidRPr="00060678">
        <w:rPr>
          <w:color w:val="FFFFFF" w:themeColor="background1"/>
          <w:sz w:val="4"/>
          <w:szCs w:val="4"/>
        </w:rPr>
        <w:fldChar w:fldCharType="end"/>
      </w:r>
      <w:r w:rsidRPr="00060678">
        <w:rPr>
          <w:color w:val="FFFFFF" w:themeColor="background1"/>
          <w:sz w:val="4"/>
          <w:szCs w:val="4"/>
        </w:rPr>
        <w:t xml:space="preserve"> Transakce provedené prostřednictvím datových schránek v Česku patřícím nepodnikajícím fyzickým osobám – občanům</w:t>
      </w:r>
      <w:bookmarkEnd w:id="11"/>
    </w:p>
    <w:p w:rsidR="008F1C09" w:rsidRPr="0009227C" w:rsidRDefault="007B0363" w:rsidP="008F1C09">
      <w:pPr>
        <w:autoSpaceDE w:val="0"/>
        <w:autoSpaceDN w:val="0"/>
        <w:adjustRightInd w:val="0"/>
        <w:spacing w:after="100" w:line="264" w:lineRule="auto"/>
        <w:jc w:val="both"/>
      </w:pPr>
      <w:r w:rsidRPr="0009227C">
        <w:rPr>
          <w:noProof/>
        </w:rPr>
        <w:drawing>
          <wp:anchor distT="0" distB="0" distL="114300" distR="114300" simplePos="0" relativeHeight="251666944" behindDoc="0" locked="0" layoutInCell="1" allowOverlap="1" wp14:anchorId="38034453" wp14:editId="7060FB84">
            <wp:simplePos x="0" y="0"/>
            <wp:positionH relativeFrom="column">
              <wp:posOffset>1442085</wp:posOffset>
            </wp:positionH>
            <wp:positionV relativeFrom="paragraph">
              <wp:posOffset>327025</wp:posOffset>
            </wp:positionV>
            <wp:extent cx="1885950" cy="1628775"/>
            <wp:effectExtent l="0" t="0" r="0" b="0"/>
            <wp:wrapNone/>
            <wp:docPr id="145" name="Graf 13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A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27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9DEF36" wp14:editId="6CEED8FC">
                <wp:simplePos x="0" y="0"/>
                <wp:positionH relativeFrom="column">
                  <wp:posOffset>3810</wp:posOffset>
                </wp:positionH>
                <wp:positionV relativeFrom="paragraph">
                  <wp:posOffset>527050</wp:posOffset>
                </wp:positionV>
                <wp:extent cx="428625" cy="142875"/>
                <wp:effectExtent l="0" t="0" r="0" b="0"/>
                <wp:wrapNone/>
                <wp:docPr id="138" name="Textové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1D30" w:rsidRDefault="00151D30" w:rsidP="008F1C09">
                            <w:pPr>
                              <w:pStyle w:val="Normln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</w:txbxContent>
                      </wps:txbx>
                      <wps:bodyPr wrap="square" lIns="36000" tIns="18000" rIns="36000" bIns="18000" rtlCol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.3pt;margin-top:41.5pt;width:33.75pt;height:11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" filled="f" stroked="f">
                <v:textbox inset="1mm,.5mm,1mm,.5mm">
                  <w:txbxContent>
                    <w:p w:rsidR="00151D30" w:rsidRDefault="00151D30" w:rsidP="008F1C09">
                      <w:pPr>
                        <w:pStyle w:val="Normln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Pr="0009227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072ABE" wp14:editId="07FF83C8">
                <wp:simplePos x="0" y="0"/>
                <wp:positionH relativeFrom="column">
                  <wp:posOffset>375285</wp:posOffset>
                </wp:positionH>
                <wp:positionV relativeFrom="paragraph">
                  <wp:posOffset>984250</wp:posOffset>
                </wp:positionV>
                <wp:extent cx="904875" cy="457200"/>
                <wp:effectExtent l="0" t="0" r="0" b="0"/>
                <wp:wrapNone/>
                <wp:docPr id="137" name="TextovéPole 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A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1D30" w:rsidRDefault="00151D30" w:rsidP="008F1C09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45,4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mil.  transakcí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celkem</w:t>
                            </w:r>
                          </w:p>
                        </w:txbxContent>
                      </wps:txbx>
                      <wps:bodyPr wrap="square" rtlCol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29.55pt;margin-top:77.5pt;width:71.25pt;height:3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" filled="f" stroked="f">
                <v:textbox>
                  <w:txbxContent>
                    <w:p w:rsidR="00151D30" w:rsidRDefault="00151D30" w:rsidP="008F1C09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45,4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mil.  transakcí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celkem</w:t>
                      </w:r>
                    </w:p>
                  </w:txbxContent>
                </v:textbox>
              </v:shape>
            </w:pict>
          </mc:Fallback>
        </mc:AlternateContent>
      </w:r>
      <w:r w:rsidR="008F1C09" w:rsidRPr="0009227C">
        <w:rPr>
          <w:noProof/>
        </w:rPr>
        <w:drawing>
          <wp:inline distT="0" distB="0" distL="0" distR="0" wp14:anchorId="706F5171" wp14:editId="79944852">
            <wp:extent cx="3448050" cy="2524125"/>
            <wp:effectExtent l="0" t="0" r="0" b="9525"/>
            <wp:docPr id="146" name="Graf 14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A00-00002B2D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8F1C09" w:rsidRPr="0009227C">
        <w:rPr>
          <w:noProof/>
        </w:rPr>
        <w:t xml:space="preserve">  </w:t>
      </w:r>
      <w:r w:rsidR="008F1C09" w:rsidRPr="0009227C">
        <w:rPr>
          <w:noProof/>
        </w:rPr>
        <w:drawing>
          <wp:inline distT="0" distB="0" distL="0" distR="0" wp14:anchorId="48A75DC3" wp14:editId="57C4D1F0">
            <wp:extent cx="2428875" cy="2524125"/>
            <wp:effectExtent l="0" t="0" r="9525" b="0"/>
            <wp:docPr id="147" name="Graf 1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F1C09" w:rsidRPr="0009227C" w:rsidRDefault="008F1C09" w:rsidP="008F1C09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80" w:line="264" w:lineRule="auto"/>
        <w:ind w:left="284" w:hanging="284"/>
        <w:jc w:val="both"/>
      </w:pPr>
      <w:r w:rsidRPr="0009227C">
        <w:t xml:space="preserve">Dle očekávání připadá nejvíce odeslaných datových zpráv (tj. provedených transakcí) na </w:t>
      </w:r>
      <w:r w:rsidRPr="0009227C">
        <w:rPr>
          <w:b/>
        </w:rPr>
        <w:t>orgány veřejné moci</w:t>
      </w:r>
      <w:r w:rsidRPr="0009227C">
        <w:t>, které používají datové schránky povinně pro vzájemnou výměnu informací. V roce 2017 uskutečnily více než 71 milionů transakcí. Právnické osoby, podnikající fyzické osoby a ostatní subjekty vykonaly v roce 2017 dohromady celkem 31 milionů transakcí, což není vzhledem k objemu transakcí orgánů veřejné moci ani poloviční podíl. Stále více tento způsob komunikace využívají nejen podnikající fyzické osoby (OSVČ), ale i nepodnikající fyzické osoby (občané).</w:t>
      </w:r>
    </w:p>
    <w:p w:rsidR="008F1C09" w:rsidRPr="0009227C" w:rsidRDefault="008F1C09" w:rsidP="008F1C09">
      <w:pPr>
        <w:pStyle w:val="Nadpis2"/>
        <w:spacing w:before="240" w:after="120" w:line="264" w:lineRule="auto"/>
      </w:pPr>
      <w:bookmarkStart w:id="12" w:name="_Toc525303569"/>
      <w:r w:rsidRPr="0009227C">
        <w:t>E. 3 Elektronická daňová přiznání</w:t>
      </w:r>
      <w:r w:rsidRPr="0009227C">
        <w:rPr>
          <w:rStyle w:val="Znakapoznpodarou"/>
          <w:sz w:val="20"/>
        </w:rPr>
        <w:footnoteReference w:id="6"/>
      </w:r>
      <w:bookmarkEnd w:id="12"/>
    </w:p>
    <w:p w:rsidR="008F1C09" w:rsidRPr="0009227C" w:rsidRDefault="008F1C09" w:rsidP="008F1C09">
      <w:pPr>
        <w:spacing w:after="80" w:line="264" w:lineRule="auto"/>
        <w:jc w:val="both"/>
        <w:rPr>
          <w:i/>
        </w:rPr>
      </w:pPr>
      <w:r w:rsidRPr="0009227C">
        <w:rPr>
          <w:i/>
        </w:rPr>
        <w:t xml:space="preserve">Finanční správa České republiky umožňuje firmám a občanům podávat v souladu s platnou legislativou daňová podání, přiznání, hlášení, případně jiné dokumenty elektronicky. Za tímto účelem byla zprovozněna </w:t>
      </w:r>
      <w:r w:rsidRPr="0009227C">
        <w:rPr>
          <w:i/>
        </w:rPr>
        <w:lastRenderedPageBreak/>
        <w:t>počítačová aplikace Elektronická podání pro finanční správu (EPO). Jde o formu elektronické podatelny orgánů Finanční správy, s níž lze pracovat v běžném internetovém prohlížeči. Elektronická podání učiněná přes EPO musí být v definovaných případech opatřena uznávaným elektronickým podpisem (ZAREP).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>Rok od roku v České republice přibývá elektronických podání pro finanční správu. V roce 2017 bylo podáno pomocí webové aplikace EPO finanční správě rekordních 8,6 milionu elektronických podání, z toho pětina s uznávaným elektronickým podpisem a necelá třetina s ověřenou identitou podatele způsobem, kterým se lze přihlásit do jeho datové schránky. Před dvěma lety jich bylo 2,4krát (o 5 miliónů) méně a před pěti dokonce 5,6krát méně (1,5 miliónu v roce 2012).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>Z hlediska celkového počtu tvoří již od roku 2003 největší část (47 % v roce 2017) elektronických podání pro finanční správu podání</w:t>
      </w:r>
      <w:r w:rsidRPr="0009227C">
        <w:rPr>
          <w:b/>
          <w:sz w:val="20"/>
        </w:rPr>
        <w:t xml:space="preserve"> daně z přidané hodnoty. </w:t>
      </w:r>
      <w:r w:rsidRPr="0009227C">
        <w:rPr>
          <w:sz w:val="20"/>
        </w:rPr>
        <w:t>V roce 2017 se prostřednictvím aplikace EPO uskutečnilo 2,2 miliony podání daně z přidané hodnoty (DPH). Za poslední tři roky (od roku 2014) vzrostl jejich počet o polovinu a od roku 2012 dokonce více jak 5krát.</w:t>
      </w:r>
    </w:p>
    <w:p w:rsidR="007B0363" w:rsidRPr="00FF4CC1" w:rsidRDefault="007B0363" w:rsidP="007B0363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  <w:lang w:val="en-US"/>
        </w:rPr>
      </w:pPr>
      <w:r w:rsidRPr="00FF4CC1">
        <w:rPr>
          <w:color w:val="FFFFFF" w:themeColor="background1"/>
          <w:sz w:val="4"/>
          <w:szCs w:val="4"/>
        </w:rPr>
        <w:t>Graf E</w:t>
      </w:r>
      <w:r w:rsidR="00FF4CC1" w:rsidRPr="00FF4CC1">
        <w:rPr>
          <w:color w:val="FFFFFF" w:themeColor="background1"/>
          <w:sz w:val="4"/>
          <w:szCs w:val="4"/>
        </w:rPr>
        <w:t>9</w:t>
      </w:r>
      <w:r w:rsidRPr="00FF4CC1">
        <w:rPr>
          <w:color w:val="FFFFFF" w:themeColor="background1"/>
          <w:sz w:val="4"/>
          <w:szCs w:val="4"/>
        </w:rPr>
        <w:t xml:space="preserve"> </w:t>
      </w:r>
      <w:r w:rsidRPr="00FF4CC1">
        <w:rPr>
          <w:color w:val="FFFFFF" w:themeColor="background1"/>
          <w:sz w:val="4"/>
          <w:szCs w:val="4"/>
          <w:lang w:val="en-US"/>
        </w:rPr>
        <w:t>Da</w:t>
      </w:r>
      <w:r w:rsidRPr="00FF4CC1">
        <w:rPr>
          <w:color w:val="FFFFFF" w:themeColor="background1"/>
          <w:sz w:val="4"/>
          <w:szCs w:val="4"/>
        </w:rPr>
        <w:t>ň</w:t>
      </w:r>
      <w:r w:rsidRPr="00FF4CC1">
        <w:rPr>
          <w:color w:val="FFFFFF" w:themeColor="background1"/>
          <w:sz w:val="4"/>
          <w:szCs w:val="4"/>
          <w:lang w:val="en-US"/>
        </w:rPr>
        <w:t xml:space="preserve"> z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příjmu</w:t>
      </w:r>
      <w:proofErr w:type="spellEnd"/>
      <w:r w:rsidRPr="00FF4CC1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fyzických</w:t>
      </w:r>
      <w:proofErr w:type="spellEnd"/>
      <w:r w:rsidRPr="00FF4CC1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osob</w:t>
      </w:r>
      <w:proofErr w:type="spellEnd"/>
      <w:r w:rsidRPr="00FF4CC1">
        <w:rPr>
          <w:color w:val="FFFFFF" w:themeColor="background1"/>
          <w:sz w:val="4"/>
          <w:szCs w:val="4"/>
          <w:lang w:val="en-US"/>
        </w:rPr>
        <w:t xml:space="preserve"> (DPFO)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podan</w:t>
      </w:r>
      <w:proofErr w:type="spellEnd"/>
      <w:r w:rsidRPr="00FF4CC1">
        <w:rPr>
          <w:color w:val="FFFFFF" w:themeColor="background1"/>
          <w:sz w:val="4"/>
          <w:szCs w:val="4"/>
        </w:rPr>
        <w:t>á</w:t>
      </w:r>
      <w:r w:rsidRPr="00FF4CC1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Česku</w:t>
      </w:r>
      <w:proofErr w:type="spellEnd"/>
      <w:r w:rsidRPr="00FF4CC1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elektronicky</w:t>
      </w:r>
      <w:proofErr w:type="spellEnd"/>
      <w:r w:rsidRPr="00FF4CC1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pomocí</w:t>
      </w:r>
      <w:proofErr w:type="spellEnd"/>
      <w:r w:rsidRPr="00FF4CC1">
        <w:rPr>
          <w:color w:val="FFFFFF" w:themeColor="background1"/>
          <w:sz w:val="4"/>
          <w:szCs w:val="4"/>
          <w:lang w:val="en-US"/>
        </w:rPr>
        <w:t xml:space="preserve"> EPO</w:t>
      </w:r>
    </w:p>
    <w:p w:rsidR="007B0363" w:rsidRPr="00FF4CC1" w:rsidRDefault="007B0363" w:rsidP="007B0363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  <w:lang w:val="en-US"/>
        </w:rPr>
      </w:pPr>
      <w:bookmarkStart w:id="13" w:name="_Toc524684577"/>
      <w:r w:rsidRPr="00FF4CC1">
        <w:rPr>
          <w:color w:val="FFFFFF" w:themeColor="background1"/>
          <w:sz w:val="4"/>
          <w:szCs w:val="4"/>
        </w:rPr>
        <w:t>Graf E</w:t>
      </w:r>
      <w:r w:rsidRPr="00FF4CC1">
        <w:rPr>
          <w:color w:val="FFFFFF" w:themeColor="background1"/>
          <w:sz w:val="4"/>
          <w:szCs w:val="4"/>
        </w:rPr>
        <w:fldChar w:fldCharType="begin"/>
      </w:r>
      <w:r w:rsidRPr="00FF4CC1">
        <w:rPr>
          <w:color w:val="FFFFFF" w:themeColor="background1"/>
          <w:sz w:val="4"/>
          <w:szCs w:val="4"/>
        </w:rPr>
        <w:instrText xml:space="preserve"> SEQ Graf_E \* ARABIC </w:instrText>
      </w:r>
      <w:r w:rsidRPr="00FF4CC1">
        <w:rPr>
          <w:color w:val="FFFFFF" w:themeColor="background1"/>
          <w:sz w:val="4"/>
          <w:szCs w:val="4"/>
        </w:rPr>
        <w:fldChar w:fldCharType="separate"/>
      </w:r>
      <w:r w:rsidRPr="00FF4CC1">
        <w:rPr>
          <w:noProof/>
          <w:color w:val="FFFFFF" w:themeColor="background1"/>
          <w:sz w:val="4"/>
          <w:szCs w:val="4"/>
        </w:rPr>
        <w:t>10</w:t>
      </w:r>
      <w:r w:rsidRPr="00FF4CC1">
        <w:rPr>
          <w:color w:val="FFFFFF" w:themeColor="background1"/>
          <w:sz w:val="4"/>
          <w:szCs w:val="4"/>
        </w:rPr>
        <w:fldChar w:fldCharType="end"/>
      </w:r>
      <w:r w:rsidRPr="00FF4CC1">
        <w:rPr>
          <w:color w:val="FFFFFF" w:themeColor="background1"/>
          <w:sz w:val="4"/>
          <w:szCs w:val="4"/>
        </w:rPr>
        <w:t xml:space="preserve"> </w:t>
      </w:r>
      <w:r w:rsidRPr="00FF4CC1">
        <w:rPr>
          <w:color w:val="FFFFFF" w:themeColor="background1"/>
          <w:sz w:val="4"/>
          <w:szCs w:val="4"/>
          <w:lang w:val="en-US"/>
        </w:rPr>
        <w:t>Da</w:t>
      </w:r>
      <w:r w:rsidRPr="00FF4CC1">
        <w:rPr>
          <w:color w:val="FFFFFF" w:themeColor="background1"/>
          <w:sz w:val="4"/>
          <w:szCs w:val="4"/>
        </w:rPr>
        <w:t>ň</w:t>
      </w:r>
      <w:r w:rsidRPr="00FF4CC1">
        <w:rPr>
          <w:color w:val="FFFFFF" w:themeColor="background1"/>
          <w:sz w:val="4"/>
          <w:szCs w:val="4"/>
          <w:lang w:val="en-US"/>
        </w:rPr>
        <w:t xml:space="preserve"> z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příjmu</w:t>
      </w:r>
      <w:proofErr w:type="spellEnd"/>
      <w:r w:rsidRPr="00FF4CC1">
        <w:rPr>
          <w:color w:val="FFFFFF" w:themeColor="background1"/>
          <w:sz w:val="4"/>
          <w:szCs w:val="4"/>
          <w:lang w:val="en-US"/>
        </w:rPr>
        <w:t xml:space="preserve"> </w:t>
      </w:r>
      <w:r w:rsidRPr="00FF4CC1">
        <w:rPr>
          <w:color w:val="FFFFFF" w:themeColor="background1"/>
          <w:sz w:val="4"/>
          <w:szCs w:val="4"/>
        </w:rPr>
        <w:t>právnických</w:t>
      </w:r>
      <w:r w:rsidRPr="00FF4CC1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osob</w:t>
      </w:r>
      <w:proofErr w:type="spellEnd"/>
      <w:r w:rsidRPr="00FF4CC1">
        <w:rPr>
          <w:color w:val="FFFFFF" w:themeColor="background1"/>
          <w:sz w:val="4"/>
          <w:szCs w:val="4"/>
          <w:lang w:val="en-US"/>
        </w:rPr>
        <w:t xml:space="preserve"> (DP</w:t>
      </w:r>
      <w:r w:rsidRPr="00FF4CC1">
        <w:rPr>
          <w:color w:val="FFFFFF" w:themeColor="background1"/>
          <w:sz w:val="4"/>
          <w:szCs w:val="4"/>
        </w:rPr>
        <w:t>P</w:t>
      </w:r>
      <w:r w:rsidRPr="00FF4CC1">
        <w:rPr>
          <w:color w:val="FFFFFF" w:themeColor="background1"/>
          <w:sz w:val="4"/>
          <w:szCs w:val="4"/>
          <w:lang w:val="en-US"/>
        </w:rPr>
        <w:t xml:space="preserve">O)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podan</w:t>
      </w:r>
      <w:proofErr w:type="spellEnd"/>
      <w:r w:rsidRPr="00FF4CC1">
        <w:rPr>
          <w:color w:val="FFFFFF" w:themeColor="background1"/>
          <w:sz w:val="4"/>
          <w:szCs w:val="4"/>
        </w:rPr>
        <w:t>á</w:t>
      </w:r>
      <w:r w:rsidRPr="00FF4CC1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Česku</w:t>
      </w:r>
      <w:proofErr w:type="spellEnd"/>
      <w:r w:rsidRPr="00FF4CC1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elektronicky</w:t>
      </w:r>
      <w:proofErr w:type="spellEnd"/>
      <w:r w:rsidRPr="00FF4CC1">
        <w:rPr>
          <w:color w:val="FFFFFF" w:themeColor="background1"/>
          <w:sz w:val="4"/>
          <w:szCs w:val="4"/>
          <w:lang w:val="en-US"/>
        </w:rPr>
        <w:t xml:space="preserve"> </w:t>
      </w:r>
      <w:proofErr w:type="spellStart"/>
      <w:r w:rsidRPr="00FF4CC1">
        <w:rPr>
          <w:color w:val="FFFFFF" w:themeColor="background1"/>
          <w:sz w:val="4"/>
          <w:szCs w:val="4"/>
          <w:lang w:val="en-US"/>
        </w:rPr>
        <w:t>pomocí</w:t>
      </w:r>
      <w:proofErr w:type="spellEnd"/>
      <w:r w:rsidRPr="00FF4CC1">
        <w:rPr>
          <w:color w:val="FFFFFF" w:themeColor="background1"/>
          <w:sz w:val="4"/>
          <w:szCs w:val="4"/>
          <w:lang w:val="en-US"/>
        </w:rPr>
        <w:t xml:space="preserve"> EPO</w:t>
      </w:r>
      <w:bookmarkEnd w:id="13"/>
    </w:p>
    <w:p w:rsidR="008F1C09" w:rsidRPr="0009227C" w:rsidRDefault="008F1C09" w:rsidP="008F1C09">
      <w:pPr>
        <w:pStyle w:val="Zkladntext"/>
        <w:spacing w:before="0" w:after="100" w:line="264" w:lineRule="auto"/>
        <w:rPr>
          <w:sz w:val="20"/>
        </w:rPr>
      </w:pPr>
      <w:r w:rsidRPr="0009227C">
        <w:rPr>
          <w:noProof/>
        </w:rPr>
        <w:drawing>
          <wp:inline distT="0" distB="0" distL="0" distR="0" wp14:anchorId="34B6C4B2" wp14:editId="62A4B8B4">
            <wp:extent cx="3042000" cy="2880000"/>
            <wp:effectExtent l="0" t="0" r="6350" b="15875"/>
            <wp:docPr id="148" name="Graf 148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09227C">
        <w:rPr>
          <w:noProof/>
        </w:rPr>
        <w:drawing>
          <wp:inline distT="0" distB="0" distL="0" distR="0" wp14:anchorId="644EBBA3" wp14:editId="3B814BC9">
            <wp:extent cx="3042000" cy="2880000"/>
            <wp:effectExtent l="0" t="0" r="6350" b="15875"/>
            <wp:docPr id="149" name="Graf 149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Počet elektronických podání daňového </w:t>
      </w:r>
      <w:r w:rsidRPr="0009227C">
        <w:rPr>
          <w:b/>
          <w:sz w:val="20"/>
        </w:rPr>
        <w:t xml:space="preserve">přiznání k dani </w:t>
      </w:r>
      <w:r w:rsidRPr="0009227C">
        <w:rPr>
          <w:sz w:val="20"/>
        </w:rPr>
        <w:t xml:space="preserve">z příjmu fyzických i právnických osob se také rok od roku zvyšuje. U daně z příjmu </w:t>
      </w:r>
      <w:r w:rsidRPr="0009227C">
        <w:rPr>
          <w:b/>
          <w:sz w:val="20"/>
        </w:rPr>
        <w:t>fyzických osob</w:t>
      </w:r>
      <w:r w:rsidRPr="0009227C">
        <w:rPr>
          <w:sz w:val="20"/>
        </w:rPr>
        <w:t xml:space="preserve"> bylo v roce 2017 podáno 262 tisíc elektronických podání prostřednictvím aplikace EPO oproti necelým 150 tisícům v roce 2015 či 32 tisícům v roce 2012. V roce 2017 tvořila tato elektronická podání 12,1 % z celkového počtu „samostatně podaných“ daní z příjmu fyzických osob (DPFO) v porovnání s 6,9 % v roce 2015.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V případě daně z příjmu </w:t>
      </w:r>
      <w:r w:rsidRPr="0009227C">
        <w:rPr>
          <w:b/>
          <w:sz w:val="20"/>
        </w:rPr>
        <w:t>právnických osob</w:t>
      </w:r>
      <w:r w:rsidRPr="0009227C">
        <w:rPr>
          <w:sz w:val="20"/>
        </w:rPr>
        <w:t xml:space="preserve"> bylo v roce 2017 podáno 213 tisíc elektronických podání pomocí aplikace EPO v porovnání se 155 tisíci v roce 2015 či pouhými 23 tisíci v roce 2012. V roce 2017 tvořila tato elektronická podání již 44,5 % z celkového počtu podání daně z příjmu právnických osob v porovnání s 37,6 % v roce 2015 či 6,4 % v roce 2012.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Kromě výše uvedených daňových přiznání pomocí webové aplikace EPO dostupné na stránkách Finanční správy si mohou jak právnické, tak fyzické osoby od roku 2013 podávat svá daňová přiznání </w:t>
      </w:r>
      <w:r w:rsidRPr="0009227C">
        <w:rPr>
          <w:b/>
          <w:sz w:val="20"/>
        </w:rPr>
        <w:t>elektronicky prostřednictv</w:t>
      </w:r>
      <w:r>
        <w:rPr>
          <w:b/>
          <w:sz w:val="20"/>
        </w:rPr>
        <w:t>ím</w:t>
      </w:r>
      <w:r w:rsidRPr="0009227C">
        <w:rPr>
          <w:b/>
          <w:sz w:val="20"/>
        </w:rPr>
        <w:t xml:space="preserve"> svých datových schránek</w:t>
      </w:r>
      <w:r w:rsidRPr="0009227C">
        <w:rPr>
          <w:sz w:val="20"/>
        </w:rPr>
        <w:t>. V roce 2015 byla dokonce zavedena povinná elektronická komunikace s Finanční správou pro všechny subjekty s aktivní datovou schránk</w:t>
      </w:r>
      <w:r w:rsidR="004F3D06">
        <w:rPr>
          <w:sz w:val="20"/>
        </w:rPr>
        <w:t>o</w:t>
      </w:r>
      <w:r w:rsidRPr="0009227C">
        <w:rPr>
          <w:sz w:val="20"/>
        </w:rPr>
        <w:t>u.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>V roce 201</w:t>
      </w:r>
      <w:r w:rsidR="00A8616B">
        <w:rPr>
          <w:sz w:val="20"/>
        </w:rPr>
        <w:t>6</w:t>
      </w:r>
      <w:r w:rsidRPr="0009227C">
        <w:rPr>
          <w:sz w:val="20"/>
        </w:rPr>
        <w:t xml:space="preserve"> využilo tuto možnost pro podání svého daňového přiznání 146 tisíc </w:t>
      </w:r>
      <w:r w:rsidRPr="0009227C">
        <w:rPr>
          <w:b/>
          <w:sz w:val="20"/>
        </w:rPr>
        <w:t>fyzických osob</w:t>
      </w:r>
      <w:r w:rsidRPr="0009227C">
        <w:rPr>
          <w:sz w:val="20"/>
        </w:rPr>
        <w:t>, což je 10krát více než před třemi lety. V roce 201</w:t>
      </w:r>
      <w:r w:rsidR="00A8616B">
        <w:rPr>
          <w:sz w:val="20"/>
        </w:rPr>
        <w:t>6</w:t>
      </w:r>
      <w:r w:rsidRPr="0009227C">
        <w:rPr>
          <w:sz w:val="20"/>
        </w:rPr>
        <w:t xml:space="preserve"> si tak – ať už pomocí webové aplikace EPO či prostřednictvím daňových schránek – elektronicky podalo daňové přiznání 408 tisíc osob. Dohromady se tak daňová přiznání fyzických osob podaná elektronickou cestou podílela z 21 % na jejich celkovém počtu.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="80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Ze strany </w:t>
      </w:r>
      <w:r w:rsidRPr="0009227C">
        <w:rPr>
          <w:b/>
          <w:sz w:val="20"/>
        </w:rPr>
        <w:t>právnických osob</w:t>
      </w:r>
      <w:r w:rsidRPr="0009227C">
        <w:rPr>
          <w:sz w:val="20"/>
        </w:rPr>
        <w:t>, využilo v roce 201</w:t>
      </w:r>
      <w:r w:rsidR="00A8616B">
        <w:rPr>
          <w:sz w:val="20"/>
        </w:rPr>
        <w:t>6</w:t>
      </w:r>
      <w:r w:rsidRPr="0009227C">
        <w:rPr>
          <w:sz w:val="20"/>
        </w:rPr>
        <w:t xml:space="preserve"> možnost podání daňového přiznání prostřednictvím svých datových stránek 249 tisíc subjektů, což je i v tomto případě cca 10krát více než před třemi lety. Téměř všechny firmy (právnické osoby) – tak jak jim ukládá zákon – si v posledních dvou letech svá daňová přiznání podávají již jen elektronickou cestou.</w:t>
      </w:r>
    </w:p>
    <w:p w:rsidR="008F1C09" w:rsidRPr="0009227C" w:rsidRDefault="008F1C09" w:rsidP="008F1C09">
      <w:pPr>
        <w:spacing w:line="240" w:lineRule="auto"/>
      </w:pPr>
      <w:r w:rsidRPr="0009227C">
        <w:br w:type="page"/>
      </w:r>
    </w:p>
    <w:p w:rsidR="008F1C09" w:rsidRPr="0009227C" w:rsidRDefault="008F1C09" w:rsidP="008F1C09">
      <w:pPr>
        <w:pStyle w:val="Nadpis2"/>
        <w:spacing w:before="240" w:after="120" w:line="264" w:lineRule="auto"/>
      </w:pPr>
      <w:bookmarkStart w:id="14" w:name="_Toc525303570"/>
      <w:r w:rsidRPr="0009227C">
        <w:lastRenderedPageBreak/>
        <w:t>E. 4 Použití internetu občany při jednání s úřady</w:t>
      </w:r>
      <w:bookmarkEnd w:id="14"/>
    </w:p>
    <w:p w:rsidR="008F1C09" w:rsidRPr="0009227C" w:rsidRDefault="008F1C09" w:rsidP="008F1C09">
      <w:pPr>
        <w:pStyle w:val="Zkladntext"/>
        <w:spacing w:before="0" w:afterLines="80" w:after="192" w:line="264" w:lineRule="auto"/>
        <w:rPr>
          <w:i/>
          <w:sz w:val="20"/>
        </w:rPr>
      </w:pPr>
      <w:r w:rsidRPr="0009227C">
        <w:rPr>
          <w:i/>
          <w:sz w:val="20"/>
        </w:rPr>
        <w:t xml:space="preserve">Elektronizace veřejné správy je nedílnou součástí dobře fungující digitální ekonomiky a společnosti. Veřejná správa, která využívá možností nových technologií, přispívá k jednodušší komunikaci mezi státem a občany. Předpokladem pro takovou komunikaci je jak vnitřní propojenost státních úřadů, tak především dostatečná nabídka online služeb </w:t>
      </w:r>
      <w:proofErr w:type="spellStart"/>
      <w:r w:rsidRPr="0009227C">
        <w:rPr>
          <w:i/>
          <w:sz w:val="20"/>
        </w:rPr>
        <w:t>eGovernmentu</w:t>
      </w:r>
      <w:proofErr w:type="spellEnd"/>
      <w:r w:rsidRPr="0009227C">
        <w:rPr>
          <w:i/>
          <w:sz w:val="20"/>
        </w:rPr>
        <w:t xml:space="preserve"> pro jejich možné využívání ze strany podniků i občanů.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Lines="80" w:after="192" w:line="264" w:lineRule="auto"/>
        <w:ind w:left="284" w:hanging="284"/>
        <w:rPr>
          <w:sz w:val="20"/>
        </w:rPr>
      </w:pPr>
      <w:r w:rsidRPr="0009227C">
        <w:rPr>
          <w:sz w:val="20"/>
        </w:rPr>
        <w:t>V rámci pravidelného šetření o využívání informačních a komunikačních technologií v domácnostech a mezi jednotlivci</w:t>
      </w:r>
      <w:r w:rsidRPr="0009227C">
        <w:rPr>
          <w:rStyle w:val="Znakapoznpodarou"/>
          <w:sz w:val="20"/>
          <w:szCs w:val="20"/>
        </w:rPr>
        <w:footnoteReference w:id="7"/>
      </w:r>
      <w:r w:rsidRPr="0009227C">
        <w:rPr>
          <w:sz w:val="20"/>
          <w:szCs w:val="20"/>
        </w:rPr>
        <w:t xml:space="preserve"> </w:t>
      </w:r>
      <w:r w:rsidRPr="0009227C">
        <w:rPr>
          <w:sz w:val="20"/>
        </w:rPr>
        <w:t xml:space="preserve">se zjišťují způsoby využívání internetu občany ve vztahu k veřejné správě. V roce 2017 použila internet </w:t>
      </w:r>
      <w:r w:rsidRPr="0009227C">
        <w:rPr>
          <w:b/>
          <w:sz w:val="20"/>
        </w:rPr>
        <w:t>při jednání s úřady</w:t>
      </w:r>
      <w:r w:rsidRPr="0009227C">
        <w:rPr>
          <w:rStyle w:val="Znakapoznpodarou"/>
          <w:sz w:val="20"/>
        </w:rPr>
        <w:footnoteReference w:id="8"/>
      </w:r>
      <w:r w:rsidRPr="0009227C">
        <w:rPr>
          <w:sz w:val="20"/>
        </w:rPr>
        <w:t xml:space="preserve"> necelá polovina (47 %) uživatelů internetu, což je více než třetina (37 %) všech obyvatel starších 16 let. </w:t>
      </w:r>
    </w:p>
    <w:p w:rsidR="008F1C09" w:rsidRPr="0009227C" w:rsidRDefault="008F1C09" w:rsidP="008F1C09">
      <w:pPr>
        <w:pStyle w:val="Zkladntext"/>
        <w:numPr>
          <w:ilvl w:val="0"/>
          <w:numId w:val="14"/>
        </w:numPr>
        <w:tabs>
          <w:tab w:val="clear" w:pos="360"/>
        </w:tabs>
        <w:spacing w:before="0" w:afterLines="80" w:after="192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Z šetření dále vyplývá, že největší podíl uživatelů používajících internet při jednání s úřady se nachází mezi </w:t>
      </w:r>
      <w:r w:rsidRPr="0009227C">
        <w:rPr>
          <w:b/>
          <w:sz w:val="20"/>
        </w:rPr>
        <w:t>vysokoškolsky vzdělanými</w:t>
      </w:r>
      <w:r w:rsidRPr="0009227C">
        <w:rPr>
          <w:sz w:val="20"/>
        </w:rPr>
        <w:t xml:space="preserve"> lidmi – v roce 2017 tuto možnost využily téměř dvě třetiny (64 %) z nich. Často internet při komunikaci s veřejnou správou používají i např. </w:t>
      </w:r>
      <w:r w:rsidRPr="0009227C">
        <w:rPr>
          <w:b/>
          <w:sz w:val="20"/>
        </w:rPr>
        <w:t>ženy na rodičovské dovolené</w:t>
      </w:r>
      <w:r w:rsidRPr="0009227C">
        <w:rPr>
          <w:sz w:val="20"/>
        </w:rPr>
        <w:t xml:space="preserve"> a </w:t>
      </w:r>
      <w:r w:rsidRPr="0009227C">
        <w:rPr>
          <w:b/>
          <w:sz w:val="20"/>
        </w:rPr>
        <w:t>osoby ve věku 35 až 44 let</w:t>
      </w:r>
      <w:r w:rsidRPr="0009227C">
        <w:rPr>
          <w:sz w:val="20"/>
        </w:rPr>
        <w:t xml:space="preserve"> – v obou případech šlo v roce 2017 o 54 % osob v této kategorii. Z věkového hlediska je internet ve vztahu k veřejné správě nejméně v</w:t>
      </w:r>
      <w:r w:rsidR="00955F38">
        <w:rPr>
          <w:sz w:val="20"/>
        </w:rPr>
        <w:t xml:space="preserve">yužíván uživateli ve skupině </w:t>
      </w:r>
      <w:r w:rsidR="00955F38">
        <w:rPr>
          <w:sz w:val="20"/>
        </w:rPr>
        <w:br/>
        <w:t>16–</w:t>
      </w:r>
      <w:r w:rsidRPr="0009227C">
        <w:rPr>
          <w:sz w:val="20"/>
        </w:rPr>
        <w:t>24</w:t>
      </w:r>
      <w:r w:rsidR="00955F38">
        <w:rPr>
          <w:sz w:val="20"/>
        </w:rPr>
        <w:t> </w:t>
      </w:r>
      <w:r w:rsidRPr="0009227C">
        <w:rPr>
          <w:sz w:val="20"/>
        </w:rPr>
        <w:t>let a především uživateli nad 65 let.</w:t>
      </w:r>
    </w:p>
    <w:p w:rsidR="007B0363" w:rsidRPr="007B0363" w:rsidRDefault="007B0363" w:rsidP="007B0363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5" w:name="_Toc524684578"/>
      <w:r w:rsidRPr="007B0363">
        <w:rPr>
          <w:color w:val="FFFFFF" w:themeColor="background1"/>
          <w:sz w:val="4"/>
          <w:szCs w:val="4"/>
        </w:rPr>
        <w:t>Graf E</w:t>
      </w:r>
      <w:r w:rsidRPr="007B0363">
        <w:rPr>
          <w:color w:val="FFFFFF" w:themeColor="background1"/>
          <w:sz w:val="4"/>
          <w:szCs w:val="4"/>
        </w:rPr>
        <w:fldChar w:fldCharType="begin"/>
      </w:r>
      <w:r w:rsidRPr="007B0363">
        <w:rPr>
          <w:color w:val="FFFFFF" w:themeColor="background1"/>
          <w:sz w:val="4"/>
          <w:szCs w:val="4"/>
        </w:rPr>
        <w:instrText xml:space="preserve"> SEQ Graf_E \* ARABIC </w:instrText>
      </w:r>
      <w:r w:rsidRPr="007B0363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11</w:t>
      </w:r>
      <w:r w:rsidRPr="007B0363">
        <w:rPr>
          <w:color w:val="FFFFFF" w:themeColor="background1"/>
          <w:sz w:val="4"/>
          <w:szCs w:val="4"/>
        </w:rPr>
        <w:fldChar w:fldCharType="end"/>
      </w:r>
      <w:r w:rsidRPr="007B0363">
        <w:rPr>
          <w:color w:val="FFFFFF" w:themeColor="background1"/>
          <w:sz w:val="4"/>
          <w:szCs w:val="4"/>
        </w:rPr>
        <w:t xml:space="preserve"> Jednotlivci v Česku používající internet při jednání s úřady</w:t>
      </w:r>
      <w:bookmarkEnd w:id="15"/>
    </w:p>
    <w:p w:rsidR="007B0363" w:rsidRPr="007B0363" w:rsidRDefault="007B0363" w:rsidP="007B0363">
      <w:pPr>
        <w:pStyle w:val="Titulek"/>
        <w:keepNext/>
        <w:spacing w:after="0"/>
        <w:jc w:val="both"/>
        <w:rPr>
          <w:color w:val="FFFFFF" w:themeColor="background1"/>
          <w:sz w:val="4"/>
          <w:szCs w:val="4"/>
        </w:rPr>
      </w:pPr>
      <w:bookmarkStart w:id="16" w:name="_Toc524684579"/>
      <w:r w:rsidRPr="007B0363">
        <w:rPr>
          <w:color w:val="FFFFFF" w:themeColor="background1"/>
          <w:sz w:val="4"/>
          <w:szCs w:val="4"/>
        </w:rPr>
        <w:t>Graf E</w:t>
      </w:r>
      <w:r w:rsidRPr="007B0363">
        <w:rPr>
          <w:color w:val="FFFFFF" w:themeColor="background1"/>
          <w:sz w:val="4"/>
          <w:szCs w:val="4"/>
        </w:rPr>
        <w:fldChar w:fldCharType="begin"/>
      </w:r>
      <w:r w:rsidRPr="007B0363">
        <w:rPr>
          <w:color w:val="FFFFFF" w:themeColor="background1"/>
          <w:sz w:val="4"/>
          <w:szCs w:val="4"/>
        </w:rPr>
        <w:instrText xml:space="preserve"> SEQ Graf_E \* ARABIC </w:instrText>
      </w:r>
      <w:r w:rsidRPr="007B0363">
        <w:rPr>
          <w:color w:val="FFFFFF" w:themeColor="background1"/>
          <w:sz w:val="4"/>
          <w:szCs w:val="4"/>
        </w:rPr>
        <w:fldChar w:fldCharType="separate"/>
      </w:r>
      <w:r>
        <w:rPr>
          <w:noProof/>
          <w:color w:val="FFFFFF" w:themeColor="background1"/>
          <w:sz w:val="4"/>
          <w:szCs w:val="4"/>
        </w:rPr>
        <w:t>12</w:t>
      </w:r>
      <w:r w:rsidRPr="007B0363">
        <w:rPr>
          <w:color w:val="FFFFFF" w:themeColor="background1"/>
          <w:sz w:val="4"/>
          <w:szCs w:val="4"/>
        </w:rPr>
        <w:fldChar w:fldCharType="end"/>
      </w:r>
      <w:r w:rsidRPr="007B0363">
        <w:rPr>
          <w:color w:val="FFFFFF" w:themeColor="background1"/>
          <w:sz w:val="4"/>
          <w:szCs w:val="4"/>
        </w:rPr>
        <w:t xml:space="preserve"> Jednotlivci v Česku ve věku 16 let a starší používající internet při jednání s úřady k vybraným činnostem</w:t>
      </w:r>
      <w:bookmarkEnd w:id="16"/>
    </w:p>
    <w:p w:rsidR="008F1C09" w:rsidRPr="0009227C" w:rsidRDefault="008F1C09" w:rsidP="008F1C09">
      <w:pPr>
        <w:pStyle w:val="Zkladntext"/>
        <w:spacing w:before="0" w:after="120" w:line="264" w:lineRule="auto"/>
        <w:rPr>
          <w:sz w:val="20"/>
        </w:rPr>
      </w:pPr>
      <w:r w:rsidRPr="0009227C">
        <w:rPr>
          <w:noProof/>
        </w:rPr>
        <w:drawing>
          <wp:inline distT="0" distB="0" distL="0" distR="0" wp14:anchorId="6A452340" wp14:editId="79664828">
            <wp:extent cx="3019425" cy="3419475"/>
            <wp:effectExtent l="0" t="0" r="0" b="0"/>
            <wp:docPr id="150" name="Graf 1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09227C">
        <w:rPr>
          <w:noProof/>
          <w:lang w:eastAsia="en-US"/>
        </w:rPr>
        <w:t xml:space="preserve"> </w:t>
      </w:r>
      <w:r w:rsidRPr="0009227C">
        <w:rPr>
          <w:noProof/>
        </w:rPr>
        <w:drawing>
          <wp:inline distT="0" distB="0" distL="0" distR="0" wp14:anchorId="63EB14AD" wp14:editId="4C850B49">
            <wp:extent cx="3024000" cy="3420000"/>
            <wp:effectExtent l="0" t="0" r="5080" b="0"/>
            <wp:docPr id="151" name="Graf 1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F1C09" w:rsidRPr="0009227C" w:rsidRDefault="008F1C09" w:rsidP="00726D5A">
      <w:pPr>
        <w:pStyle w:val="Zkladntext"/>
        <w:numPr>
          <w:ilvl w:val="0"/>
          <w:numId w:val="14"/>
        </w:numPr>
        <w:tabs>
          <w:tab w:val="clear" w:pos="360"/>
        </w:tabs>
        <w:spacing w:before="0" w:afterLines="80" w:after="192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Z internetových činností směřujících k veřejné správě nejčastěji jednotlivci na internetu v Česku </w:t>
      </w:r>
      <w:r w:rsidRPr="0009227C">
        <w:rPr>
          <w:b/>
          <w:sz w:val="20"/>
        </w:rPr>
        <w:t>vyhledávají informace</w:t>
      </w:r>
      <w:r w:rsidRPr="0009227C">
        <w:rPr>
          <w:sz w:val="20"/>
        </w:rPr>
        <w:t xml:space="preserve"> na webových stránkách úřadů. V roce 2017 uskutečnila tuto činnost cca třetina (34 %) z osob starších 16 let v porovnání s necelou pětinou (19 %) v roce 2010.</w:t>
      </w:r>
    </w:p>
    <w:p w:rsidR="008F1C09" w:rsidRPr="0009227C" w:rsidRDefault="008F1C09" w:rsidP="00726D5A">
      <w:pPr>
        <w:pStyle w:val="Zkladntext"/>
        <w:numPr>
          <w:ilvl w:val="0"/>
          <w:numId w:val="14"/>
        </w:numPr>
        <w:tabs>
          <w:tab w:val="clear" w:pos="360"/>
        </w:tabs>
        <w:spacing w:before="0" w:afterLines="80" w:after="192" w:line="264" w:lineRule="auto"/>
        <w:ind w:left="284" w:hanging="284"/>
        <w:rPr>
          <w:sz w:val="20"/>
        </w:rPr>
      </w:pPr>
      <w:r w:rsidRPr="0009227C">
        <w:rPr>
          <w:sz w:val="20"/>
        </w:rPr>
        <w:lastRenderedPageBreak/>
        <w:t xml:space="preserve">Ostatní internetové činnosti související s veřejnou správou již tak oblíbené nejsou. Prostřednictvím </w:t>
      </w:r>
      <w:r w:rsidRPr="0009227C">
        <w:rPr>
          <w:sz w:val="20"/>
        </w:rPr>
        <w:br/>
      </w:r>
      <w:r w:rsidRPr="0009227C">
        <w:rPr>
          <w:b/>
          <w:sz w:val="20"/>
        </w:rPr>
        <w:t>e-mailu komunikovalo</w:t>
      </w:r>
      <w:r w:rsidRPr="0009227C">
        <w:rPr>
          <w:sz w:val="20"/>
        </w:rPr>
        <w:t xml:space="preserve"> v roce 2017 s úřady 16 % jednotlivců a obdobné procento (15 %) z nich </w:t>
      </w:r>
      <w:r w:rsidRPr="0009227C">
        <w:rPr>
          <w:b/>
          <w:sz w:val="20"/>
        </w:rPr>
        <w:t>stáhlo formulář</w:t>
      </w:r>
      <w:r w:rsidRPr="0009227C">
        <w:rPr>
          <w:sz w:val="20"/>
        </w:rPr>
        <w:t xml:space="preserve"> z webových stránek dané instituce. Ještě méně osob – cca desetina (11 %) – </w:t>
      </w:r>
      <w:r w:rsidRPr="0009227C">
        <w:rPr>
          <w:b/>
          <w:sz w:val="20"/>
        </w:rPr>
        <w:t>pak vyplnilo a odeslalo formulář úřadům přes internet</w:t>
      </w:r>
      <w:r w:rsidRPr="0009227C">
        <w:rPr>
          <w:sz w:val="20"/>
        </w:rPr>
        <w:t xml:space="preserve">. </w:t>
      </w:r>
    </w:p>
    <w:p w:rsidR="008F1C09" w:rsidRPr="0009227C" w:rsidRDefault="008F1C09" w:rsidP="00726D5A">
      <w:pPr>
        <w:pStyle w:val="Zkladntext"/>
        <w:numPr>
          <w:ilvl w:val="0"/>
          <w:numId w:val="14"/>
        </w:numPr>
        <w:tabs>
          <w:tab w:val="clear" w:pos="360"/>
        </w:tabs>
        <w:spacing w:before="0" w:afterLines="80" w:after="192" w:line="264" w:lineRule="auto"/>
        <w:ind w:left="284" w:hanging="284"/>
        <w:rPr>
          <w:sz w:val="20"/>
        </w:rPr>
      </w:pPr>
      <w:r w:rsidRPr="0009227C">
        <w:rPr>
          <w:sz w:val="20"/>
        </w:rPr>
        <w:t xml:space="preserve">Právě možnost online vyplnění a odeslání formuláře z domova či z jakéhokoliv jiného místa je součástí tzv. </w:t>
      </w:r>
      <w:proofErr w:type="spellStart"/>
      <w:r w:rsidRPr="0009227C">
        <w:rPr>
          <w:sz w:val="20"/>
        </w:rPr>
        <w:t>eGovernmentu</w:t>
      </w:r>
      <w:proofErr w:type="spellEnd"/>
      <w:r w:rsidRPr="0009227C">
        <w:rPr>
          <w:sz w:val="20"/>
        </w:rPr>
        <w:t xml:space="preserve">, který představuje další fázi elektronizace veřejné správy. Drtivá většina populace (89 % v roce 2017) zatím možnosti online vyplnění a odeslání formuláře v Česku nevyužívá. Mezi nejčastější důvody, proč dospělí občané ČR v roce 2017 nevyplnili a neodeslali on-line formuláře úřadům, patřila odpověď, že </w:t>
      </w:r>
      <w:r w:rsidRPr="0009227C">
        <w:rPr>
          <w:b/>
          <w:sz w:val="20"/>
        </w:rPr>
        <w:t>nepotřebovali vyplnit žádný formulář</w:t>
      </w:r>
      <w:r w:rsidRPr="0009227C">
        <w:rPr>
          <w:sz w:val="20"/>
        </w:rPr>
        <w:t xml:space="preserve">. Odpověděla tak téměř polovina osob (47 %). Čtvrtina jednotlivců (24 %) uvedla jako důvod nevyplnění on-line formuláře, že </w:t>
      </w:r>
      <w:r w:rsidRPr="0009227C">
        <w:rPr>
          <w:b/>
          <w:sz w:val="20"/>
        </w:rPr>
        <w:t>nepoužívá internet</w:t>
      </w:r>
      <w:r w:rsidRPr="0009227C">
        <w:rPr>
          <w:sz w:val="20"/>
        </w:rPr>
        <w:t xml:space="preserve"> a zbývající osoby (30 %) uvedly jiné důvody nevyplnění, např. nedostatek potřebných znalostí, dovedností, obavy o ochranu osobních údajů nebo že daný formulář za ně vyplnil někdo jiný. Někteří také uváděli, že chtěli formulář vyplnit online, ale zjistili, že požadovaný formulář není k dispozici online.</w:t>
      </w:r>
    </w:p>
    <w:p w:rsidR="008F1C09" w:rsidRPr="0009227C" w:rsidRDefault="008F1C09" w:rsidP="00726D5A">
      <w:pPr>
        <w:pStyle w:val="Zkladntext"/>
        <w:numPr>
          <w:ilvl w:val="0"/>
          <w:numId w:val="14"/>
        </w:numPr>
        <w:tabs>
          <w:tab w:val="clear" w:pos="360"/>
        </w:tabs>
        <w:spacing w:before="0" w:afterLines="80" w:after="192" w:line="264" w:lineRule="auto"/>
        <w:ind w:left="284" w:hanging="284"/>
        <w:rPr>
          <w:sz w:val="20"/>
        </w:rPr>
      </w:pPr>
      <w:r w:rsidRPr="0009227C">
        <w:rPr>
          <w:sz w:val="20"/>
        </w:rPr>
        <w:t>Ve využívání internetu ve vztahu k veřejné správě</w:t>
      </w:r>
      <w:r w:rsidRPr="0009227C">
        <w:rPr>
          <w:rStyle w:val="Znakapoznpodarou"/>
          <w:sz w:val="20"/>
        </w:rPr>
        <w:footnoteReference w:id="9"/>
      </w:r>
      <w:r w:rsidRPr="0009227C">
        <w:rPr>
          <w:sz w:val="20"/>
        </w:rPr>
        <w:t xml:space="preserve"> </w:t>
      </w:r>
      <w:r w:rsidRPr="0009227C">
        <w:rPr>
          <w:b/>
          <w:sz w:val="20"/>
        </w:rPr>
        <w:t>v rámci zemí EU</w:t>
      </w:r>
      <w:r w:rsidRPr="0009227C">
        <w:rPr>
          <w:sz w:val="20"/>
        </w:rPr>
        <w:t xml:space="preserve"> se Česká republika stále řadí pod průměr. V roce 2017 použilo v EU průměrně 49 % jednotlivců ve věku 16–74 let internet ve vztahu k veřejné správě, zatímco v ČR se jednalo o 46 %</w:t>
      </w:r>
      <w:r w:rsidRPr="0009227C">
        <w:t xml:space="preserve">. </w:t>
      </w:r>
      <w:r w:rsidRPr="0009227C">
        <w:rPr>
          <w:sz w:val="20"/>
        </w:rPr>
        <w:t>Nejvíce jednotlivců, kteří využívají internet ve vztahu k institucím veřejné správy, najdeme v severských státech, Nizozemsku či Estonsku.</w:t>
      </w:r>
    </w:p>
    <w:p w:rsidR="007B0363" w:rsidRPr="004B680F" w:rsidRDefault="007B0363" w:rsidP="004B680F">
      <w:pPr>
        <w:pStyle w:val="Titulek"/>
        <w:keepNext/>
        <w:tabs>
          <w:tab w:val="left" w:pos="6840"/>
        </w:tabs>
        <w:spacing w:after="0"/>
        <w:jc w:val="both"/>
        <w:rPr>
          <w:color w:val="000000" w:themeColor="text1"/>
          <w:sz w:val="4"/>
          <w:szCs w:val="4"/>
        </w:rPr>
      </w:pPr>
      <w:bookmarkStart w:id="17" w:name="_Toc524684580"/>
      <w:r w:rsidRPr="004B680F">
        <w:rPr>
          <w:color w:val="FFFFFF" w:themeColor="background1"/>
          <w:sz w:val="4"/>
          <w:szCs w:val="4"/>
        </w:rPr>
        <w:t>Graf E</w:t>
      </w:r>
      <w:r w:rsidRPr="004B680F">
        <w:rPr>
          <w:color w:val="FFFFFF" w:themeColor="background1"/>
          <w:sz w:val="4"/>
          <w:szCs w:val="4"/>
        </w:rPr>
        <w:fldChar w:fldCharType="begin"/>
      </w:r>
      <w:r w:rsidRPr="004B680F">
        <w:rPr>
          <w:color w:val="FFFFFF" w:themeColor="background1"/>
          <w:sz w:val="4"/>
          <w:szCs w:val="4"/>
        </w:rPr>
        <w:instrText xml:space="preserve"> SEQ Graf_E \* ARABIC </w:instrText>
      </w:r>
      <w:r w:rsidRPr="004B680F">
        <w:rPr>
          <w:color w:val="FFFFFF" w:themeColor="background1"/>
          <w:sz w:val="4"/>
          <w:szCs w:val="4"/>
        </w:rPr>
        <w:fldChar w:fldCharType="separate"/>
      </w:r>
      <w:r w:rsidRPr="004B680F">
        <w:rPr>
          <w:noProof/>
          <w:color w:val="FFFFFF" w:themeColor="background1"/>
          <w:sz w:val="4"/>
          <w:szCs w:val="4"/>
        </w:rPr>
        <w:t>13</w:t>
      </w:r>
      <w:r w:rsidRPr="004B680F">
        <w:rPr>
          <w:color w:val="FFFFFF" w:themeColor="background1"/>
          <w:sz w:val="4"/>
          <w:szCs w:val="4"/>
        </w:rPr>
        <w:fldChar w:fldCharType="end"/>
      </w:r>
      <w:r w:rsidRPr="004B680F">
        <w:rPr>
          <w:color w:val="FFFFFF" w:themeColor="background1"/>
          <w:sz w:val="4"/>
          <w:szCs w:val="4"/>
        </w:rPr>
        <w:t xml:space="preserve"> </w:t>
      </w:r>
      <w:proofErr w:type="spellStart"/>
      <w:r w:rsidRPr="004B680F">
        <w:rPr>
          <w:color w:val="FFFFFF" w:themeColor="background1"/>
          <w:sz w:val="4"/>
          <w:szCs w:val="4"/>
          <w:lang w:val="en-US"/>
        </w:rPr>
        <w:t>Jednotlivci</w:t>
      </w:r>
      <w:proofErr w:type="spellEnd"/>
      <w:r w:rsidRPr="004B680F">
        <w:rPr>
          <w:color w:val="FFFFFF" w:themeColor="background1"/>
          <w:sz w:val="4"/>
          <w:szCs w:val="4"/>
          <w:lang w:val="en-US"/>
        </w:rPr>
        <w:t xml:space="preserve"> v </w:t>
      </w:r>
      <w:proofErr w:type="spellStart"/>
      <w:r w:rsidRPr="004B680F">
        <w:rPr>
          <w:color w:val="FFFFFF" w:themeColor="background1"/>
          <w:sz w:val="4"/>
          <w:szCs w:val="4"/>
          <w:lang w:val="en-US"/>
        </w:rPr>
        <w:t>zemích</w:t>
      </w:r>
      <w:proofErr w:type="spellEnd"/>
      <w:r w:rsidRPr="004B680F">
        <w:rPr>
          <w:color w:val="FFFFFF" w:themeColor="background1"/>
          <w:sz w:val="4"/>
          <w:szCs w:val="4"/>
          <w:lang w:val="en-US"/>
        </w:rPr>
        <w:t xml:space="preserve"> EU </w:t>
      </w:r>
      <w:r w:rsidRPr="004B680F">
        <w:rPr>
          <w:color w:val="FFFFFF" w:themeColor="background1"/>
          <w:sz w:val="4"/>
          <w:szCs w:val="4"/>
        </w:rPr>
        <w:t xml:space="preserve">ve věku 16 až 74 let </w:t>
      </w:r>
      <w:proofErr w:type="spellStart"/>
      <w:r w:rsidRPr="004B680F">
        <w:rPr>
          <w:color w:val="FFFFFF" w:themeColor="background1"/>
          <w:sz w:val="4"/>
          <w:szCs w:val="4"/>
          <w:lang w:val="en-US"/>
        </w:rPr>
        <w:t>používající</w:t>
      </w:r>
      <w:proofErr w:type="spellEnd"/>
      <w:r w:rsidRPr="004B680F">
        <w:rPr>
          <w:color w:val="FFFFFF" w:themeColor="background1"/>
          <w:sz w:val="4"/>
          <w:szCs w:val="4"/>
          <w:lang w:val="en-US"/>
        </w:rPr>
        <w:t xml:space="preserve"> internet </w:t>
      </w:r>
      <w:r w:rsidRPr="004B680F">
        <w:rPr>
          <w:color w:val="FFFFFF" w:themeColor="background1"/>
          <w:sz w:val="4"/>
          <w:szCs w:val="4"/>
        </w:rPr>
        <w:t>při jednání s</w:t>
      </w:r>
      <w:r w:rsidR="004B680F" w:rsidRPr="004B680F">
        <w:rPr>
          <w:color w:val="FFFFFF" w:themeColor="background1"/>
          <w:sz w:val="4"/>
          <w:szCs w:val="4"/>
        </w:rPr>
        <w:t> veřejnou správou</w:t>
      </w:r>
      <w:r w:rsidRPr="004B680F">
        <w:rPr>
          <w:color w:val="FFFFFF" w:themeColor="background1"/>
          <w:sz w:val="4"/>
          <w:szCs w:val="4"/>
        </w:rPr>
        <w:t xml:space="preserve"> v roce 2017</w:t>
      </w:r>
      <w:bookmarkEnd w:id="17"/>
      <w:r w:rsidR="004B680F" w:rsidRPr="004B680F">
        <w:rPr>
          <w:color w:val="000000" w:themeColor="text1"/>
          <w:sz w:val="4"/>
          <w:szCs w:val="4"/>
        </w:rPr>
        <w:tab/>
      </w:r>
    </w:p>
    <w:p w:rsidR="008F1C09" w:rsidRPr="0009227C" w:rsidRDefault="008F1C09" w:rsidP="008F1C09">
      <w:pPr>
        <w:pStyle w:val="Zkladntext"/>
        <w:spacing w:before="0" w:after="100" w:line="264" w:lineRule="auto"/>
        <w:ind w:left="284"/>
        <w:rPr>
          <w:sz w:val="20"/>
        </w:rPr>
      </w:pPr>
      <w:r w:rsidRPr="0009227C">
        <w:rPr>
          <w:noProof/>
        </w:rPr>
        <w:drawing>
          <wp:inline distT="0" distB="0" distL="0" distR="0" wp14:anchorId="270ED294" wp14:editId="7EB1302F">
            <wp:extent cx="5972810" cy="3110230"/>
            <wp:effectExtent l="0" t="0" r="0" b="0"/>
            <wp:docPr id="152" name="Graf 1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F17D3" w:rsidRPr="001C1B9E" w:rsidRDefault="008F1C09" w:rsidP="001C1B9E">
      <w:pPr>
        <w:pStyle w:val="Zkladntext"/>
        <w:numPr>
          <w:ilvl w:val="0"/>
          <w:numId w:val="20"/>
        </w:numPr>
        <w:spacing w:before="0"/>
        <w:ind w:left="357" w:hanging="357"/>
        <w:rPr>
          <w:b/>
          <w:bCs/>
          <w:color w:val="009BB4"/>
          <w:sz w:val="28"/>
          <w:szCs w:val="28"/>
        </w:rPr>
      </w:pPr>
      <w:r w:rsidRPr="0009227C">
        <w:rPr>
          <w:sz w:val="20"/>
        </w:rPr>
        <w:t>Zatímco v některých zemích EU jako je Estonsko, Irsko či severské státy je online vyplnění a odeslání formulářů běžnou součástí jednání s úřady přes internet, Češi jsou v online interakci s úřady pasivnější a internet využívají spíše pro vyhledávání informací na stránkách úřadu. V již zmíněném Estonsku v roce 2017 vyplnilo a odeslalo formulář přes internet 70 % jednotlivců, zatímco v Česku jen 14 %. Unijní průměr činil 30 %.</w:t>
      </w:r>
      <w:bookmarkStart w:id="18" w:name="_GoBack"/>
      <w:bookmarkEnd w:id="18"/>
    </w:p>
    <w:bookmarkEnd w:id="0"/>
    <w:sectPr w:rsidR="006F17D3" w:rsidRPr="001C1B9E" w:rsidSect="001C1B9E">
      <w:type w:val="continuous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30" w:rsidRDefault="00151D30" w:rsidP="00E71A58">
      <w:r>
        <w:separator/>
      </w:r>
    </w:p>
  </w:endnote>
  <w:endnote w:type="continuationSeparator" w:id="0">
    <w:p w:rsidR="00151D30" w:rsidRDefault="00151D3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932443" w:rsidRDefault="00151D3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1DECA60" wp14:editId="5B067906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0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C1B9E">
      <w:rPr>
        <w:szCs w:val="16"/>
      </w:rPr>
      <w:t>70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932443" w:rsidRDefault="00151D3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25DC535" wp14:editId="02634D90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02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2018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C1B9E">
      <w:rPr>
        <w:rStyle w:val="ZpatChar"/>
        <w:szCs w:val="16"/>
      </w:rPr>
      <w:t>71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9E" w:rsidRDefault="001C1B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30" w:rsidRDefault="00151D30" w:rsidP="00E71A58">
      <w:r>
        <w:separator/>
      </w:r>
    </w:p>
  </w:footnote>
  <w:footnote w:type="continuationSeparator" w:id="0">
    <w:p w:rsidR="00151D30" w:rsidRDefault="00151D30" w:rsidP="00E71A58">
      <w:r>
        <w:continuationSeparator/>
      </w:r>
    </w:p>
  </w:footnote>
  <w:footnote w:id="1">
    <w:p w:rsidR="00151D30" w:rsidRPr="000D0649" w:rsidRDefault="00151D30" w:rsidP="008F1C09">
      <w:pPr>
        <w:pStyle w:val="Textpoznpodarou"/>
        <w:rPr>
          <w:rFonts w:ascii="Arial" w:hAnsi="Arial" w:cs="Arial"/>
          <w:sz w:val="18"/>
          <w:szCs w:val="18"/>
        </w:rPr>
      </w:pPr>
      <w:r w:rsidRPr="000D0649">
        <w:rPr>
          <w:rStyle w:val="Znakapoznpodarou"/>
          <w:rFonts w:ascii="Arial" w:hAnsi="Arial" w:cs="Arial"/>
          <w:sz w:val="18"/>
        </w:rPr>
        <w:footnoteRef/>
      </w:r>
      <w:r w:rsidRPr="000D0649">
        <w:rPr>
          <w:rFonts w:ascii="Arial" w:hAnsi="Arial" w:cs="Arial"/>
          <w:sz w:val="18"/>
        </w:rPr>
        <w:t xml:space="preserve"> V roce 2007 bylo ministerstvo zrušeno.</w:t>
      </w:r>
    </w:p>
  </w:footnote>
  <w:footnote w:id="2">
    <w:p w:rsidR="00151D30" w:rsidRPr="00A171B3" w:rsidRDefault="00151D30" w:rsidP="005C23A9">
      <w:pPr>
        <w:pStyle w:val="Textpoznpodarou"/>
        <w:spacing w:before="60"/>
        <w:jc w:val="both"/>
        <w:rPr>
          <w:rFonts w:ascii="Arial" w:hAnsi="Arial" w:cs="Arial"/>
          <w:sz w:val="18"/>
          <w:szCs w:val="18"/>
        </w:rPr>
      </w:pPr>
      <w:r w:rsidRPr="00A171B3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Elektronická podání jsou obdobou podání zasílaných klasickou formou, ale provádí se přes internet. Právnické či fyzické osoby již tedy nemusí navštěvovat úřad osobně.</w:t>
      </w:r>
      <w:r w:rsidRPr="00A171B3">
        <w:rPr>
          <w:rFonts w:ascii="Arial" w:hAnsi="Arial" w:cs="Arial"/>
          <w:sz w:val="18"/>
          <w:szCs w:val="18"/>
        </w:rPr>
        <w:t xml:space="preserve"> </w:t>
      </w:r>
    </w:p>
  </w:footnote>
  <w:footnote w:id="3">
    <w:p w:rsidR="00151D30" w:rsidRPr="0023139C" w:rsidRDefault="00151D30" w:rsidP="005C23A9">
      <w:pPr>
        <w:pStyle w:val="Textpoznpodarou"/>
        <w:spacing w:before="60"/>
        <w:rPr>
          <w:rFonts w:ascii="Arial" w:hAnsi="Arial" w:cs="Arial"/>
        </w:rPr>
      </w:pPr>
      <w:r w:rsidRPr="0023139C">
        <w:rPr>
          <w:rStyle w:val="Znakapoznpodarou"/>
          <w:rFonts w:ascii="Arial" w:hAnsi="Arial" w:cs="Arial"/>
          <w:sz w:val="18"/>
        </w:rPr>
        <w:footnoteRef/>
      </w:r>
      <w:r w:rsidRPr="0023139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Pokud nevlastní zaručený</w:t>
      </w:r>
      <w:r w:rsidRPr="0023139C">
        <w:rPr>
          <w:rFonts w:ascii="Arial" w:hAnsi="Arial" w:cs="Arial"/>
          <w:sz w:val="18"/>
        </w:rPr>
        <w:t xml:space="preserve"> elektronick</w:t>
      </w:r>
      <w:r>
        <w:rPr>
          <w:rFonts w:ascii="Arial" w:hAnsi="Arial" w:cs="Arial"/>
          <w:sz w:val="18"/>
        </w:rPr>
        <w:t>ý podpis</w:t>
      </w:r>
      <w:r w:rsidRPr="0023139C">
        <w:rPr>
          <w:rFonts w:ascii="Arial" w:hAnsi="Arial" w:cs="Arial"/>
          <w:sz w:val="18"/>
        </w:rPr>
        <w:t xml:space="preserve"> či datov</w:t>
      </w:r>
      <w:r>
        <w:rPr>
          <w:rFonts w:ascii="Arial" w:hAnsi="Arial" w:cs="Arial"/>
          <w:sz w:val="18"/>
        </w:rPr>
        <w:t>ou schrán</w:t>
      </w:r>
      <w:r w:rsidRPr="0023139C">
        <w:rPr>
          <w:rFonts w:ascii="Arial" w:hAnsi="Arial" w:cs="Arial"/>
          <w:sz w:val="18"/>
        </w:rPr>
        <w:t>k</w:t>
      </w:r>
      <w:r>
        <w:rPr>
          <w:rFonts w:ascii="Arial" w:hAnsi="Arial" w:cs="Arial"/>
          <w:sz w:val="18"/>
        </w:rPr>
        <w:t>u</w:t>
      </w:r>
      <w:r w:rsidRPr="0023139C">
        <w:rPr>
          <w:rFonts w:ascii="Arial" w:hAnsi="Arial" w:cs="Arial"/>
          <w:sz w:val="18"/>
        </w:rPr>
        <w:t>.</w:t>
      </w:r>
    </w:p>
  </w:footnote>
  <w:footnote w:id="4">
    <w:p w:rsidR="00151D30" w:rsidRPr="00A171B3" w:rsidRDefault="00151D30" w:rsidP="005C23A9">
      <w:pPr>
        <w:pStyle w:val="Textpoznpodarou"/>
        <w:spacing w:before="60"/>
        <w:jc w:val="both"/>
        <w:rPr>
          <w:rFonts w:ascii="Arial" w:hAnsi="Arial" w:cs="Arial"/>
          <w:sz w:val="18"/>
          <w:szCs w:val="18"/>
        </w:rPr>
      </w:pPr>
      <w:r w:rsidRPr="00610ED6">
        <w:rPr>
          <w:rStyle w:val="Znakapoznpodarou"/>
          <w:rFonts w:ascii="Arial" w:hAnsi="Arial" w:cs="Arial"/>
          <w:sz w:val="18"/>
          <w:szCs w:val="18"/>
        </w:rPr>
        <w:footnoteRef/>
      </w:r>
      <w:r w:rsidRPr="00610ED6">
        <w:rPr>
          <w:rFonts w:ascii="Arial" w:hAnsi="Arial" w:cs="Arial"/>
          <w:sz w:val="18"/>
          <w:szCs w:val="18"/>
        </w:rPr>
        <w:t xml:space="preserve"> V současnosti existují 3 hlavní rozhraní – </w:t>
      </w:r>
      <w:r w:rsidRPr="00610ED6">
        <w:rPr>
          <w:rFonts w:ascii="Arial" w:hAnsi="Arial" w:cs="Arial"/>
          <w:b/>
          <w:sz w:val="18"/>
          <w:szCs w:val="18"/>
        </w:rPr>
        <w:t xml:space="preserve">Czech POINT </w:t>
      </w:r>
      <w:r w:rsidRPr="00610ED6">
        <w:rPr>
          <w:rFonts w:ascii="Arial" w:hAnsi="Arial" w:cs="Arial"/>
          <w:sz w:val="18"/>
          <w:szCs w:val="18"/>
        </w:rPr>
        <w:t>jakožto</w:t>
      </w:r>
      <w:r w:rsidRPr="00610ED6">
        <w:rPr>
          <w:rFonts w:ascii="Arial" w:hAnsi="Arial" w:cs="Arial"/>
          <w:b/>
          <w:sz w:val="18"/>
          <w:szCs w:val="18"/>
        </w:rPr>
        <w:t xml:space="preserve"> asistovaná kontaktní místa</w:t>
      </w:r>
      <w:r w:rsidRPr="00610ED6">
        <w:rPr>
          <w:rFonts w:ascii="Arial" w:hAnsi="Arial" w:cs="Arial"/>
          <w:sz w:val="18"/>
          <w:szCs w:val="18"/>
        </w:rPr>
        <w:t xml:space="preserve"> veřejné správy určená pro občany, </w:t>
      </w:r>
      <w:proofErr w:type="spellStart"/>
      <w:r w:rsidRPr="00610ED6">
        <w:rPr>
          <w:rFonts w:ascii="Arial" w:hAnsi="Arial" w:cs="Arial"/>
          <w:b/>
          <w:sz w:val="18"/>
          <w:szCs w:val="18"/>
        </w:rPr>
        <w:t>CzechPOINT@office</w:t>
      </w:r>
      <w:proofErr w:type="spellEnd"/>
      <w:r w:rsidRPr="00610ED6">
        <w:rPr>
          <w:rFonts w:ascii="Arial" w:hAnsi="Arial" w:cs="Arial"/>
          <w:sz w:val="18"/>
          <w:szCs w:val="18"/>
        </w:rPr>
        <w:t xml:space="preserve"> – neveřejná internetová aplikace určená úředníkům veřejné správy, kteří ze zákona přistupují k rejstříkům nebo provádějí konverzi dokumentů z moci úřední a nejnovější rozhraní </w:t>
      </w:r>
      <w:proofErr w:type="spellStart"/>
      <w:r w:rsidRPr="00610ED6">
        <w:rPr>
          <w:rFonts w:ascii="Arial" w:hAnsi="Arial" w:cs="Arial"/>
          <w:b/>
          <w:sz w:val="18"/>
          <w:szCs w:val="18"/>
        </w:rPr>
        <w:t>CzechPOINT@home</w:t>
      </w:r>
      <w:proofErr w:type="spellEnd"/>
      <w:r w:rsidRPr="00610ED6">
        <w:rPr>
          <w:rFonts w:ascii="Arial" w:hAnsi="Arial" w:cs="Arial"/>
          <w:sz w:val="18"/>
          <w:szCs w:val="18"/>
        </w:rPr>
        <w:t xml:space="preserve"> fungující jako kontaktní místo </w:t>
      </w:r>
      <w:r>
        <w:rPr>
          <w:rFonts w:ascii="Arial" w:hAnsi="Arial" w:cs="Arial"/>
          <w:sz w:val="18"/>
          <w:szCs w:val="18"/>
        </w:rPr>
        <w:t>s dálkovým přístupem (nejen) z </w:t>
      </w:r>
      <w:r w:rsidRPr="00610ED6">
        <w:rPr>
          <w:rFonts w:ascii="Arial" w:hAnsi="Arial" w:cs="Arial"/>
          <w:sz w:val="18"/>
          <w:szCs w:val="18"/>
        </w:rPr>
        <w:t xml:space="preserve">domova pro držitele vlastních datových schránek. Podrobněji viz následující odkaz: </w:t>
      </w:r>
      <w:hyperlink r:id="rId1" w:history="1">
        <w:r w:rsidRPr="00130D90">
          <w:rPr>
            <w:rStyle w:val="Hypertextovodkaz"/>
            <w:rFonts w:ascii="Arial" w:hAnsi="Arial" w:cs="Arial"/>
            <w:sz w:val="18"/>
            <w:szCs w:val="18"/>
          </w:rPr>
          <w:t>http://www.czechpoint.cz/public</w:t>
        </w:r>
      </w:hyperlink>
    </w:p>
  </w:footnote>
  <w:footnote w:id="5">
    <w:p w:rsidR="00151D30" w:rsidRPr="009F2927" w:rsidRDefault="00151D30" w:rsidP="008F1C09">
      <w:pPr>
        <w:pStyle w:val="Textpoznpodarou"/>
        <w:jc w:val="both"/>
        <w:rPr>
          <w:rFonts w:ascii="Arial" w:hAnsi="Arial" w:cs="Arial"/>
          <w:color w:val="4F6228" w:themeColor="accent3" w:themeShade="80"/>
          <w:sz w:val="18"/>
          <w:szCs w:val="18"/>
        </w:rPr>
      </w:pPr>
      <w:r w:rsidRPr="00B66C6A">
        <w:rPr>
          <w:rStyle w:val="Znakapoznpodarou"/>
          <w:rFonts w:ascii="Arial" w:hAnsi="Arial" w:cs="Arial"/>
          <w:sz w:val="18"/>
          <w:szCs w:val="18"/>
        </w:rPr>
        <w:footnoteRef/>
      </w:r>
      <w:r w:rsidRPr="00B66C6A">
        <w:rPr>
          <w:rFonts w:ascii="Arial" w:hAnsi="Arial" w:cs="Arial"/>
          <w:sz w:val="18"/>
          <w:szCs w:val="18"/>
        </w:rPr>
        <w:t xml:space="preserve"> </w:t>
      </w:r>
      <w:r w:rsidRPr="00B66C6A">
        <w:rPr>
          <w:rFonts w:ascii="Arial" w:hAnsi="Arial" w:cs="Arial"/>
          <w:b/>
          <w:bCs/>
          <w:sz w:val="18"/>
          <w:szCs w:val="18"/>
        </w:rPr>
        <w:t>Datová schránka</w:t>
      </w:r>
      <w:r w:rsidRPr="00B66C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B66C6A">
        <w:rPr>
          <w:rFonts w:ascii="Arial" w:hAnsi="Arial" w:cs="Arial"/>
          <w:sz w:val="18"/>
          <w:szCs w:val="18"/>
        </w:rPr>
        <w:t xml:space="preserve"> elektronická identita fungující z uživatelského pohledu na podobném principu jako e-mailová schránka. V</w:t>
      </w:r>
      <w:r>
        <w:rPr>
          <w:rFonts w:ascii="Arial" w:hAnsi="Arial" w:cs="Arial"/>
          <w:sz w:val="18"/>
          <w:szCs w:val="18"/>
        </w:rPr>
        <w:t xml:space="preserve"> </w:t>
      </w:r>
      <w:r w:rsidRPr="00B66C6A">
        <w:rPr>
          <w:rFonts w:ascii="Arial" w:hAnsi="Arial" w:cs="Arial"/>
          <w:sz w:val="18"/>
          <w:szCs w:val="18"/>
        </w:rPr>
        <w:t xml:space="preserve">českém právním řádu je definována jako elektronické úložiště speciálního typu, které je určeno k zabezpečenému a důvěryhodnému doručování elektronických dokumentů a zpráv mezi orgány veřejné moci na straně jedné a fyzickými a právnickými osobami na straně druhé. V České republice byly datové schránky v tomto významu zavedeny zákonem č. 300/2008 Sb., o elektronických úkonech a autorizované konverzi </w:t>
      </w:r>
      <w:r>
        <w:rPr>
          <w:rFonts w:ascii="Arial" w:hAnsi="Arial" w:cs="Arial"/>
          <w:sz w:val="18"/>
          <w:szCs w:val="18"/>
        </w:rPr>
        <w:t>dokumentů, účinným</w:t>
      </w:r>
      <w:r w:rsidRPr="00B66C6A">
        <w:rPr>
          <w:rFonts w:ascii="Arial" w:hAnsi="Arial" w:cs="Arial"/>
          <w:sz w:val="18"/>
          <w:szCs w:val="18"/>
        </w:rPr>
        <w:t xml:space="preserve"> od</w:t>
      </w:r>
      <w:r>
        <w:rPr>
          <w:rFonts w:ascii="Arial" w:hAnsi="Arial" w:cs="Arial"/>
          <w:sz w:val="18"/>
          <w:szCs w:val="18"/>
        </w:rPr>
        <w:t> </w:t>
      </w:r>
      <w:r w:rsidRPr="00B66C6A">
        <w:rPr>
          <w:rFonts w:ascii="Arial" w:hAnsi="Arial" w:cs="Arial"/>
          <w:sz w:val="18"/>
          <w:szCs w:val="18"/>
        </w:rPr>
        <w:t>1. července 2009. Od 1. ledna 2010 mohou používat datové schránky mezi sebou i fyzické a právnické osoby. Datová schránka je povinná pro orgány státní moci a právnické osoby zapsané v obchodním rejstříku, dobrovolná je pro většinu podnikajících fyzických osob, zřídit si ji mohou i nepodnikající fyzické osoby (občané). Podrobněji viz</w:t>
      </w:r>
      <w:r>
        <w:rPr>
          <w:rFonts w:ascii="Arial" w:hAnsi="Arial" w:cs="Arial"/>
          <w:sz w:val="18"/>
          <w:szCs w:val="18"/>
        </w:rPr>
        <w:t> </w:t>
      </w:r>
      <w:hyperlink r:id="rId2" w:history="1">
        <w:r w:rsidRPr="00A171B3">
          <w:rPr>
            <w:rStyle w:val="Hypertextovodkaz"/>
            <w:rFonts w:ascii="Arial" w:hAnsi="Arial" w:cs="Arial"/>
            <w:sz w:val="18"/>
            <w:szCs w:val="18"/>
          </w:rPr>
          <w:t>http://www.mvcr.cz/clanek/datove-schranky-datove-schranky.aspx</w:t>
        </w:r>
      </w:hyperlink>
    </w:p>
  </w:footnote>
  <w:footnote w:id="6">
    <w:p w:rsidR="00151D30" w:rsidRPr="00856E94" w:rsidRDefault="00151D30" w:rsidP="008F1C0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56E94">
        <w:rPr>
          <w:rStyle w:val="Znakapoznpodarou"/>
          <w:rFonts w:ascii="Arial" w:hAnsi="Arial" w:cs="Arial"/>
          <w:sz w:val="18"/>
          <w:szCs w:val="18"/>
        </w:rPr>
        <w:footnoteRef/>
      </w:r>
      <w:r w:rsidRPr="00856E94">
        <w:rPr>
          <w:rFonts w:ascii="Arial" w:hAnsi="Arial" w:cs="Arial"/>
          <w:sz w:val="18"/>
          <w:szCs w:val="18"/>
        </w:rPr>
        <w:t xml:space="preserve"> Data o počtu </w:t>
      </w:r>
      <w:r w:rsidRPr="00856E94">
        <w:rPr>
          <w:rFonts w:ascii="Arial" w:hAnsi="Arial" w:cs="Arial"/>
          <w:b/>
          <w:sz w:val="18"/>
          <w:szCs w:val="18"/>
        </w:rPr>
        <w:t>daňových přiznání podaných elektronickou cestou</w:t>
      </w:r>
      <w:r w:rsidRPr="00856E94">
        <w:rPr>
          <w:rFonts w:ascii="Arial" w:hAnsi="Arial" w:cs="Arial"/>
          <w:sz w:val="18"/>
          <w:szCs w:val="18"/>
        </w:rPr>
        <w:t xml:space="preserve"> pro finanční správu ČR přes </w:t>
      </w:r>
      <w:r w:rsidRPr="00856E94">
        <w:rPr>
          <w:rFonts w:ascii="Arial" w:hAnsi="Arial" w:cs="Arial"/>
          <w:b/>
          <w:sz w:val="18"/>
          <w:szCs w:val="18"/>
        </w:rPr>
        <w:t>webovou aplikaci EPO</w:t>
      </w:r>
      <w:r w:rsidRPr="00856E94">
        <w:rPr>
          <w:rFonts w:ascii="Arial" w:hAnsi="Arial" w:cs="Arial"/>
          <w:sz w:val="18"/>
          <w:szCs w:val="18"/>
        </w:rPr>
        <w:t xml:space="preserve"> (elektronická daňová přiznání) či prostřednictvím </w:t>
      </w:r>
      <w:r w:rsidRPr="00856E94">
        <w:rPr>
          <w:rFonts w:ascii="Arial" w:hAnsi="Arial" w:cs="Arial"/>
          <w:b/>
          <w:sz w:val="18"/>
          <w:szCs w:val="18"/>
        </w:rPr>
        <w:t>datových schránek</w:t>
      </w:r>
      <w:r w:rsidRPr="00856E94">
        <w:rPr>
          <w:rFonts w:ascii="Arial" w:hAnsi="Arial" w:cs="Arial"/>
          <w:sz w:val="18"/>
          <w:szCs w:val="18"/>
        </w:rPr>
        <w:t xml:space="preserve"> zpracovává ČSÚ z volně dostupných dat</w:t>
      </w:r>
      <w:r w:rsidRPr="00856E94">
        <w:rPr>
          <w:rFonts w:ascii="Arial" w:hAnsi="Arial" w:cs="Arial"/>
          <w:b/>
          <w:sz w:val="18"/>
          <w:szCs w:val="18"/>
        </w:rPr>
        <w:t xml:space="preserve"> Finanční správy. </w:t>
      </w:r>
      <w:r w:rsidRPr="00856E94">
        <w:rPr>
          <w:rFonts w:ascii="Arial" w:hAnsi="Arial" w:cs="Arial"/>
          <w:sz w:val="18"/>
          <w:szCs w:val="18"/>
        </w:rPr>
        <w:t xml:space="preserve">Nejnovější údaje z těchto zdrojů se vztahují k roku 2017. V roce 2015 byla zavedena povinná komunikace s </w:t>
      </w:r>
      <w:r>
        <w:rPr>
          <w:rFonts w:ascii="Arial" w:hAnsi="Arial" w:cs="Arial"/>
          <w:sz w:val="18"/>
          <w:szCs w:val="18"/>
        </w:rPr>
        <w:t>f</w:t>
      </w:r>
      <w:r w:rsidRPr="00856E94">
        <w:rPr>
          <w:rFonts w:ascii="Arial" w:hAnsi="Arial" w:cs="Arial"/>
          <w:sz w:val="18"/>
          <w:szCs w:val="18"/>
        </w:rPr>
        <w:t>inanční správou prostřednictvím datové schránky pro všechny, kdo mají aktivní datovou schránku.</w:t>
      </w:r>
    </w:p>
  </w:footnote>
  <w:footnote w:id="7">
    <w:p w:rsidR="00151D30" w:rsidRPr="00856E94" w:rsidRDefault="00151D30" w:rsidP="008F1C0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56E94">
        <w:rPr>
          <w:rStyle w:val="Znakapoznpodarou"/>
          <w:rFonts w:ascii="Arial" w:hAnsi="Arial" w:cs="Arial"/>
          <w:sz w:val="18"/>
          <w:szCs w:val="18"/>
        </w:rPr>
        <w:footnoteRef/>
      </w:r>
      <w:r w:rsidRPr="00856E94">
        <w:rPr>
          <w:rFonts w:ascii="Arial" w:hAnsi="Arial" w:cs="Arial"/>
          <w:sz w:val="18"/>
          <w:szCs w:val="18"/>
        </w:rPr>
        <w:t xml:space="preserve"> Údaje o využívání internetu ve vztahu k veřejné správě ze strany jednotlivců vycházejí z výsledků získaných v rámci Výběrového šetření o využívání ICT v domácnostech (VŠIT). Toto šetření je prováděno formou osobního rozhovoru na</w:t>
      </w:r>
      <w:r>
        <w:rPr>
          <w:rFonts w:ascii="Arial" w:hAnsi="Arial" w:cs="Arial"/>
          <w:sz w:val="18"/>
          <w:szCs w:val="18"/>
        </w:rPr>
        <w:t> </w:t>
      </w:r>
      <w:r w:rsidRPr="00856E94">
        <w:rPr>
          <w:rFonts w:ascii="Arial" w:hAnsi="Arial" w:cs="Arial"/>
          <w:sz w:val="18"/>
          <w:szCs w:val="18"/>
        </w:rPr>
        <w:t>výběrovém vzorku cca 10 tis. jednotlivců. Zjištěná data jsou k dispozici v široké škále demografických a sociálních charakteristik osob žijících v šetřených domácnostech jako je např. pohlaví, věk, nejvyšší dosažené vzdělání</w:t>
      </w:r>
      <w:r>
        <w:rPr>
          <w:rFonts w:ascii="Arial" w:hAnsi="Arial" w:cs="Arial"/>
          <w:sz w:val="18"/>
          <w:szCs w:val="18"/>
        </w:rPr>
        <w:t>, ekonomická aktivita, příjmová skupina, kraj a velikost obce bydliště</w:t>
      </w:r>
      <w:r w:rsidRPr="00856E94">
        <w:rPr>
          <w:rFonts w:ascii="Arial" w:hAnsi="Arial" w:cs="Arial"/>
          <w:sz w:val="18"/>
          <w:szCs w:val="18"/>
        </w:rPr>
        <w:t>. Od</w:t>
      </w:r>
      <w:r>
        <w:rPr>
          <w:rFonts w:ascii="Arial" w:hAnsi="Arial" w:cs="Arial"/>
          <w:sz w:val="18"/>
          <w:szCs w:val="18"/>
        </w:rPr>
        <w:t> </w:t>
      </w:r>
      <w:r w:rsidRPr="00856E94">
        <w:rPr>
          <w:rFonts w:ascii="Arial" w:hAnsi="Arial" w:cs="Arial"/>
          <w:sz w:val="18"/>
          <w:szCs w:val="18"/>
        </w:rPr>
        <w:t>roku 2006 je šetření prováděno každoročně ve</w:t>
      </w:r>
      <w:r>
        <w:rPr>
          <w:rFonts w:ascii="Arial" w:hAnsi="Arial" w:cs="Arial"/>
          <w:sz w:val="18"/>
          <w:szCs w:val="18"/>
        </w:rPr>
        <w:t> </w:t>
      </w:r>
      <w:r w:rsidRPr="00856E94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> </w:t>
      </w:r>
      <w:r w:rsidRPr="00856E94">
        <w:rPr>
          <w:rFonts w:ascii="Arial" w:hAnsi="Arial" w:cs="Arial"/>
          <w:sz w:val="18"/>
          <w:szCs w:val="18"/>
        </w:rPr>
        <w:t>čtvrtletí sledovaného roku ve všech zemích EU, a to jako povinné zjišťování na základě nařízení Evropského parlamentu a Rady (ES) č. 808/2004, o statistice Společenství o informační společnosti. Podrobněji viz kapitola C</w:t>
      </w:r>
      <w:r>
        <w:rPr>
          <w:rFonts w:ascii="Arial" w:hAnsi="Arial" w:cs="Arial"/>
          <w:sz w:val="18"/>
          <w:szCs w:val="18"/>
        </w:rPr>
        <w:t>.</w:t>
      </w:r>
      <w:r w:rsidRPr="00856E94">
        <w:rPr>
          <w:rFonts w:ascii="Arial" w:hAnsi="Arial" w:cs="Arial"/>
          <w:sz w:val="18"/>
          <w:szCs w:val="18"/>
        </w:rPr>
        <w:t xml:space="preserve"> </w:t>
      </w:r>
    </w:p>
  </w:footnote>
  <w:footnote w:id="8">
    <w:p w:rsidR="00151D30" w:rsidRPr="00856E94" w:rsidRDefault="00151D30" w:rsidP="005C23A9">
      <w:pPr>
        <w:pStyle w:val="Textpoznpodarou"/>
        <w:spacing w:before="60"/>
        <w:jc w:val="both"/>
        <w:rPr>
          <w:rFonts w:ascii="Arial" w:hAnsi="Arial" w:cs="Arial"/>
          <w:sz w:val="18"/>
          <w:szCs w:val="18"/>
        </w:rPr>
      </w:pPr>
      <w:r w:rsidRPr="00856E94">
        <w:rPr>
          <w:rStyle w:val="Znakapoznpodarou"/>
          <w:rFonts w:ascii="Arial" w:hAnsi="Arial" w:cs="Arial"/>
          <w:sz w:val="18"/>
          <w:szCs w:val="18"/>
        </w:rPr>
        <w:footnoteRef/>
      </w:r>
      <w:r w:rsidRPr="00856E94">
        <w:rPr>
          <w:rFonts w:ascii="Arial" w:hAnsi="Arial" w:cs="Arial"/>
          <w:sz w:val="18"/>
          <w:szCs w:val="18"/>
        </w:rPr>
        <w:t xml:space="preserve"> Zahrnuje jednotlivce, kteří uvedli, že použili internet pro soukromé účely alespoň jednou v posledních 12 měsících alespoň k jedné z následujících činností při jednání s úřady: vyhledávání informací na webových stránkách úřadu; komunikace s úřady pomocí elektronické pošty;  stáhnutí formuláře z webových stránek úřadu a/nebo vyplnění a </w:t>
      </w:r>
      <w:r>
        <w:rPr>
          <w:rFonts w:ascii="Arial" w:hAnsi="Arial" w:cs="Arial"/>
          <w:sz w:val="18"/>
          <w:szCs w:val="18"/>
        </w:rPr>
        <w:t>online</w:t>
      </w:r>
      <w:r w:rsidRPr="00856E94">
        <w:rPr>
          <w:rFonts w:ascii="Arial" w:hAnsi="Arial" w:cs="Arial"/>
          <w:sz w:val="18"/>
          <w:szCs w:val="18"/>
        </w:rPr>
        <w:t xml:space="preserve"> odeslání formuláře úřadům.</w:t>
      </w:r>
    </w:p>
  </w:footnote>
  <w:footnote w:id="9">
    <w:p w:rsidR="00151D30" w:rsidRPr="00856E94" w:rsidRDefault="00151D30" w:rsidP="008F1C09">
      <w:pPr>
        <w:pStyle w:val="Textpoznpodarou"/>
        <w:rPr>
          <w:rFonts w:ascii="Arial" w:hAnsi="Arial" w:cs="Arial"/>
          <w:sz w:val="18"/>
          <w:szCs w:val="18"/>
        </w:rPr>
      </w:pPr>
      <w:r w:rsidRPr="0038745F">
        <w:rPr>
          <w:rStyle w:val="Znakapoznpodarou"/>
          <w:rFonts w:ascii="Arial" w:hAnsi="Arial" w:cs="Arial"/>
          <w:sz w:val="18"/>
          <w:szCs w:val="18"/>
        </w:rPr>
        <w:footnoteRef/>
      </w:r>
      <w:r w:rsidRPr="003874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45F">
        <w:rPr>
          <w:rFonts w:ascii="Arial" w:hAnsi="Arial" w:cs="Arial"/>
          <w:sz w:val="18"/>
          <w:szCs w:val="18"/>
        </w:rPr>
        <w:t>Eurostat</w:t>
      </w:r>
      <w:proofErr w:type="spellEnd"/>
      <w:r w:rsidRPr="0038745F">
        <w:rPr>
          <w:rFonts w:ascii="Arial" w:hAnsi="Arial" w:cs="Arial"/>
          <w:sz w:val="18"/>
          <w:szCs w:val="18"/>
        </w:rPr>
        <w:t xml:space="preserve"> publikuje pouze údaje o ‘veřejné správě celkem‘ – kromě úřadů jsou do ukazatele zahrnuty i některé veřejné instituce. Jedná se především o veřejné školy, zdravotnická zařízení a knihovny.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6F5416" w:rsidRDefault="00151D30" w:rsidP="00EF25CC">
    <w:pPr>
      <w:pStyle w:val="Zhlav"/>
    </w:pPr>
    <w:r>
      <w:t>Rozvoj informační společnosti v České republice a zemích EU</w:t>
    </w:r>
  </w:p>
  <w:p w:rsidR="00151D30" w:rsidRPr="00EF25CC" w:rsidRDefault="00151D30" w:rsidP="00EF25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30" w:rsidRPr="006F5416" w:rsidRDefault="00151D30" w:rsidP="00937AE2">
    <w:pPr>
      <w:pStyle w:val="Zhlav"/>
    </w:pPr>
    <w:r>
      <w:t>Rozvoj informační společnosti v České republice a zemích EU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9E" w:rsidRDefault="001C1B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4135D"/>
    <w:multiLevelType w:val="hybridMultilevel"/>
    <w:tmpl w:val="FD5658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F750D5"/>
    <w:multiLevelType w:val="hybridMultilevel"/>
    <w:tmpl w:val="5D747D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7D2D59"/>
    <w:multiLevelType w:val="hybridMultilevel"/>
    <w:tmpl w:val="CD607F88"/>
    <w:lvl w:ilvl="0" w:tplc="08DC1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EF0B92"/>
    <w:multiLevelType w:val="hybridMultilevel"/>
    <w:tmpl w:val="338A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E85D3C"/>
    <w:multiLevelType w:val="hybridMultilevel"/>
    <w:tmpl w:val="26643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33F88"/>
    <w:multiLevelType w:val="hybridMultilevel"/>
    <w:tmpl w:val="0F7A41B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D3662"/>
    <w:multiLevelType w:val="hybridMultilevel"/>
    <w:tmpl w:val="1DEEB002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87561"/>
    <w:multiLevelType w:val="hybridMultilevel"/>
    <w:tmpl w:val="CC78A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3B4673"/>
    <w:multiLevelType w:val="hybridMultilevel"/>
    <w:tmpl w:val="82FA25BC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9"/>
  </w:num>
  <w:num w:numId="14">
    <w:abstractNumId w:val="22"/>
  </w:num>
  <w:num w:numId="15">
    <w:abstractNumId w:val="14"/>
  </w:num>
  <w:num w:numId="16">
    <w:abstractNumId w:val="11"/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  <w:num w:numId="21">
    <w:abstractNumId w:val="12"/>
  </w:num>
  <w:num w:numId="22">
    <w:abstractNumId w:val="21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74"/>
    <w:rsid w:val="0000209D"/>
    <w:rsid w:val="00004D5A"/>
    <w:rsid w:val="000056D5"/>
    <w:rsid w:val="0000661F"/>
    <w:rsid w:val="0000767A"/>
    <w:rsid w:val="00010702"/>
    <w:rsid w:val="000234D6"/>
    <w:rsid w:val="00023D29"/>
    <w:rsid w:val="00026389"/>
    <w:rsid w:val="00031AE0"/>
    <w:rsid w:val="00031DF9"/>
    <w:rsid w:val="000322EF"/>
    <w:rsid w:val="00033FCD"/>
    <w:rsid w:val="00041CEC"/>
    <w:rsid w:val="0004694F"/>
    <w:rsid w:val="000522E4"/>
    <w:rsid w:val="00060678"/>
    <w:rsid w:val="000610E1"/>
    <w:rsid w:val="00062EC5"/>
    <w:rsid w:val="00062F22"/>
    <w:rsid w:val="000712B3"/>
    <w:rsid w:val="000738F5"/>
    <w:rsid w:val="00080DC7"/>
    <w:rsid w:val="0008263E"/>
    <w:rsid w:val="00082C19"/>
    <w:rsid w:val="00085395"/>
    <w:rsid w:val="00085ADD"/>
    <w:rsid w:val="00087634"/>
    <w:rsid w:val="00087F2B"/>
    <w:rsid w:val="00090B26"/>
    <w:rsid w:val="000974D1"/>
    <w:rsid w:val="0009799E"/>
    <w:rsid w:val="000A1183"/>
    <w:rsid w:val="000A256D"/>
    <w:rsid w:val="000A3A2C"/>
    <w:rsid w:val="000C233D"/>
    <w:rsid w:val="000C2E06"/>
    <w:rsid w:val="000C3408"/>
    <w:rsid w:val="000C6AFD"/>
    <w:rsid w:val="000D5447"/>
    <w:rsid w:val="000D5637"/>
    <w:rsid w:val="000E6FBD"/>
    <w:rsid w:val="000F1E6B"/>
    <w:rsid w:val="00100F5C"/>
    <w:rsid w:val="00104C4C"/>
    <w:rsid w:val="0012192F"/>
    <w:rsid w:val="00125D69"/>
    <w:rsid w:val="001310B8"/>
    <w:rsid w:val="001374A5"/>
    <w:rsid w:val="001405FA"/>
    <w:rsid w:val="001425C3"/>
    <w:rsid w:val="00151D30"/>
    <w:rsid w:val="001532F4"/>
    <w:rsid w:val="0016256B"/>
    <w:rsid w:val="00163793"/>
    <w:rsid w:val="001706D6"/>
    <w:rsid w:val="001714F2"/>
    <w:rsid w:val="001719E8"/>
    <w:rsid w:val="00184B08"/>
    <w:rsid w:val="00185010"/>
    <w:rsid w:val="001964E7"/>
    <w:rsid w:val="001A552F"/>
    <w:rsid w:val="001B2CA9"/>
    <w:rsid w:val="001B3110"/>
    <w:rsid w:val="001B4729"/>
    <w:rsid w:val="001B6C09"/>
    <w:rsid w:val="001B7B0A"/>
    <w:rsid w:val="001C05CD"/>
    <w:rsid w:val="001C1B9E"/>
    <w:rsid w:val="001C4EA2"/>
    <w:rsid w:val="001C550B"/>
    <w:rsid w:val="001D68B2"/>
    <w:rsid w:val="001F4597"/>
    <w:rsid w:val="001F71F0"/>
    <w:rsid w:val="002118B9"/>
    <w:rsid w:val="00215A2F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56F55"/>
    <w:rsid w:val="00263723"/>
    <w:rsid w:val="00271465"/>
    <w:rsid w:val="00272ECF"/>
    <w:rsid w:val="00285412"/>
    <w:rsid w:val="00286B82"/>
    <w:rsid w:val="002A16D4"/>
    <w:rsid w:val="002A230C"/>
    <w:rsid w:val="002C354E"/>
    <w:rsid w:val="002C43BD"/>
    <w:rsid w:val="002D0E59"/>
    <w:rsid w:val="002E02A1"/>
    <w:rsid w:val="002E4E4C"/>
    <w:rsid w:val="002E53B8"/>
    <w:rsid w:val="00304771"/>
    <w:rsid w:val="003052D4"/>
    <w:rsid w:val="00306C5B"/>
    <w:rsid w:val="0031346B"/>
    <w:rsid w:val="00320135"/>
    <w:rsid w:val="003209D6"/>
    <w:rsid w:val="00321924"/>
    <w:rsid w:val="003258E2"/>
    <w:rsid w:val="0032656E"/>
    <w:rsid w:val="00332190"/>
    <w:rsid w:val="00344668"/>
    <w:rsid w:val="003462D9"/>
    <w:rsid w:val="00346BD2"/>
    <w:rsid w:val="00360C86"/>
    <w:rsid w:val="0036231A"/>
    <w:rsid w:val="003657F3"/>
    <w:rsid w:val="003818DC"/>
    <w:rsid w:val="00384327"/>
    <w:rsid w:val="00385D98"/>
    <w:rsid w:val="003A2B4D"/>
    <w:rsid w:val="003A478C"/>
    <w:rsid w:val="003A5525"/>
    <w:rsid w:val="003A6B38"/>
    <w:rsid w:val="003B009D"/>
    <w:rsid w:val="003B3A31"/>
    <w:rsid w:val="003B5A32"/>
    <w:rsid w:val="003C3490"/>
    <w:rsid w:val="003C6AB3"/>
    <w:rsid w:val="003D5166"/>
    <w:rsid w:val="003D561C"/>
    <w:rsid w:val="003D6920"/>
    <w:rsid w:val="003D7360"/>
    <w:rsid w:val="003E4C91"/>
    <w:rsid w:val="003F313C"/>
    <w:rsid w:val="003F4B2C"/>
    <w:rsid w:val="003F551C"/>
    <w:rsid w:val="003F7D23"/>
    <w:rsid w:val="00407C13"/>
    <w:rsid w:val="00410638"/>
    <w:rsid w:val="00427DBA"/>
    <w:rsid w:val="00432A58"/>
    <w:rsid w:val="00434617"/>
    <w:rsid w:val="00440900"/>
    <w:rsid w:val="004441A0"/>
    <w:rsid w:val="00447AC3"/>
    <w:rsid w:val="0045371C"/>
    <w:rsid w:val="0045583D"/>
    <w:rsid w:val="00460FB3"/>
    <w:rsid w:val="00471EB7"/>
    <w:rsid w:val="00476240"/>
    <w:rsid w:val="00476439"/>
    <w:rsid w:val="00476ABC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021D"/>
    <w:rsid w:val="004B1417"/>
    <w:rsid w:val="004B2A0F"/>
    <w:rsid w:val="004B55B7"/>
    <w:rsid w:val="004B6468"/>
    <w:rsid w:val="004B680F"/>
    <w:rsid w:val="004C17F9"/>
    <w:rsid w:val="004C1E47"/>
    <w:rsid w:val="004C302C"/>
    <w:rsid w:val="004C384C"/>
    <w:rsid w:val="004C3867"/>
    <w:rsid w:val="004C4CD0"/>
    <w:rsid w:val="004C70DC"/>
    <w:rsid w:val="004D0211"/>
    <w:rsid w:val="004D0794"/>
    <w:rsid w:val="004D41FF"/>
    <w:rsid w:val="004D79D3"/>
    <w:rsid w:val="004F06F5"/>
    <w:rsid w:val="004F1191"/>
    <w:rsid w:val="004F33A0"/>
    <w:rsid w:val="004F3D06"/>
    <w:rsid w:val="00502A16"/>
    <w:rsid w:val="005108C0"/>
    <w:rsid w:val="00511679"/>
    <w:rsid w:val="00511873"/>
    <w:rsid w:val="00512A2F"/>
    <w:rsid w:val="00513B7E"/>
    <w:rsid w:val="00515C74"/>
    <w:rsid w:val="0052007E"/>
    <w:rsid w:val="0052337A"/>
    <w:rsid w:val="00525137"/>
    <w:rsid w:val="005251DD"/>
    <w:rsid w:val="00532CBB"/>
    <w:rsid w:val="00532CE7"/>
    <w:rsid w:val="0053324C"/>
    <w:rsid w:val="00534A28"/>
    <w:rsid w:val="00536744"/>
    <w:rsid w:val="00541508"/>
    <w:rsid w:val="0055599F"/>
    <w:rsid w:val="00556D68"/>
    <w:rsid w:val="005647BF"/>
    <w:rsid w:val="0057364B"/>
    <w:rsid w:val="00574773"/>
    <w:rsid w:val="00580DC8"/>
    <w:rsid w:val="00583F46"/>
    <w:rsid w:val="00583FFD"/>
    <w:rsid w:val="0058579A"/>
    <w:rsid w:val="005911BE"/>
    <w:rsid w:val="00593152"/>
    <w:rsid w:val="00597C39"/>
    <w:rsid w:val="005A10F2"/>
    <w:rsid w:val="005A21E0"/>
    <w:rsid w:val="005A27BE"/>
    <w:rsid w:val="005A28FF"/>
    <w:rsid w:val="005A3DF8"/>
    <w:rsid w:val="005A5549"/>
    <w:rsid w:val="005B121D"/>
    <w:rsid w:val="005C06ED"/>
    <w:rsid w:val="005C23A9"/>
    <w:rsid w:val="005D09AA"/>
    <w:rsid w:val="005D5802"/>
    <w:rsid w:val="005D7890"/>
    <w:rsid w:val="005E7C78"/>
    <w:rsid w:val="005F3EB1"/>
    <w:rsid w:val="005F5469"/>
    <w:rsid w:val="00604022"/>
    <w:rsid w:val="00604307"/>
    <w:rsid w:val="0060487F"/>
    <w:rsid w:val="00604EAD"/>
    <w:rsid w:val="006104FB"/>
    <w:rsid w:val="00612A2F"/>
    <w:rsid w:val="00616E05"/>
    <w:rsid w:val="00623647"/>
    <w:rsid w:val="00624093"/>
    <w:rsid w:val="006404A7"/>
    <w:rsid w:val="006451E4"/>
    <w:rsid w:val="00645B33"/>
    <w:rsid w:val="00650694"/>
    <w:rsid w:val="006516CB"/>
    <w:rsid w:val="00655739"/>
    <w:rsid w:val="00657E87"/>
    <w:rsid w:val="00664803"/>
    <w:rsid w:val="00665BA4"/>
    <w:rsid w:val="00667AF2"/>
    <w:rsid w:val="006710C9"/>
    <w:rsid w:val="00674D89"/>
    <w:rsid w:val="00675E37"/>
    <w:rsid w:val="0068174E"/>
    <w:rsid w:val="00681D9E"/>
    <w:rsid w:val="00681DCE"/>
    <w:rsid w:val="0068260E"/>
    <w:rsid w:val="0068503B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6C48"/>
    <w:rsid w:val="006C7CA6"/>
    <w:rsid w:val="006D0F31"/>
    <w:rsid w:val="006D3E8A"/>
    <w:rsid w:val="006D61F6"/>
    <w:rsid w:val="006E279A"/>
    <w:rsid w:val="006E313B"/>
    <w:rsid w:val="006E65BC"/>
    <w:rsid w:val="006F17D3"/>
    <w:rsid w:val="006F48ED"/>
    <w:rsid w:val="006F5416"/>
    <w:rsid w:val="00703765"/>
    <w:rsid w:val="00706AD4"/>
    <w:rsid w:val="007140BE"/>
    <w:rsid w:val="00715110"/>
    <w:rsid w:val="007211F5"/>
    <w:rsid w:val="00725BB5"/>
    <w:rsid w:val="00726D5A"/>
    <w:rsid w:val="00730AE8"/>
    <w:rsid w:val="00741493"/>
    <w:rsid w:val="007445D0"/>
    <w:rsid w:val="00752180"/>
    <w:rsid w:val="00755202"/>
    <w:rsid w:val="00755D3A"/>
    <w:rsid w:val="007578D3"/>
    <w:rsid w:val="007609C6"/>
    <w:rsid w:val="0076175D"/>
    <w:rsid w:val="00761AD2"/>
    <w:rsid w:val="00763A84"/>
    <w:rsid w:val="0076521E"/>
    <w:rsid w:val="007661E9"/>
    <w:rsid w:val="007745AC"/>
    <w:rsid w:val="00776169"/>
    <w:rsid w:val="00776527"/>
    <w:rsid w:val="00780EF1"/>
    <w:rsid w:val="007847E4"/>
    <w:rsid w:val="00790764"/>
    <w:rsid w:val="0079453C"/>
    <w:rsid w:val="00794677"/>
    <w:rsid w:val="00797FE8"/>
    <w:rsid w:val="007B0363"/>
    <w:rsid w:val="007B1818"/>
    <w:rsid w:val="007B2E26"/>
    <w:rsid w:val="007B6689"/>
    <w:rsid w:val="007D40DF"/>
    <w:rsid w:val="007D726B"/>
    <w:rsid w:val="007E7E61"/>
    <w:rsid w:val="007F0845"/>
    <w:rsid w:val="007F6C9B"/>
    <w:rsid w:val="00804C7B"/>
    <w:rsid w:val="00807C82"/>
    <w:rsid w:val="00813E24"/>
    <w:rsid w:val="00816905"/>
    <w:rsid w:val="00821FF6"/>
    <w:rsid w:val="0082256C"/>
    <w:rsid w:val="00825C4D"/>
    <w:rsid w:val="0083143E"/>
    <w:rsid w:val="00831CDE"/>
    <w:rsid w:val="00834304"/>
    <w:rsid w:val="0083434D"/>
    <w:rsid w:val="00834FAA"/>
    <w:rsid w:val="008353D1"/>
    <w:rsid w:val="00836086"/>
    <w:rsid w:val="00837E52"/>
    <w:rsid w:val="0084708F"/>
    <w:rsid w:val="008477C8"/>
    <w:rsid w:val="0085114D"/>
    <w:rsid w:val="00852217"/>
    <w:rsid w:val="00855408"/>
    <w:rsid w:val="00856D65"/>
    <w:rsid w:val="008603EE"/>
    <w:rsid w:val="00861B41"/>
    <w:rsid w:val="00863434"/>
    <w:rsid w:val="00865330"/>
    <w:rsid w:val="00865E4C"/>
    <w:rsid w:val="008701E4"/>
    <w:rsid w:val="00872D1B"/>
    <w:rsid w:val="00875A32"/>
    <w:rsid w:val="00876086"/>
    <w:rsid w:val="008873D4"/>
    <w:rsid w:val="0089085D"/>
    <w:rsid w:val="00893E85"/>
    <w:rsid w:val="00894031"/>
    <w:rsid w:val="008A2396"/>
    <w:rsid w:val="008B2FEB"/>
    <w:rsid w:val="008B309E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1C09"/>
    <w:rsid w:val="008F1E34"/>
    <w:rsid w:val="008F3B39"/>
    <w:rsid w:val="008F3FC9"/>
    <w:rsid w:val="008F4FFD"/>
    <w:rsid w:val="008F585B"/>
    <w:rsid w:val="009003A8"/>
    <w:rsid w:val="00902500"/>
    <w:rsid w:val="00902EFF"/>
    <w:rsid w:val="00906401"/>
    <w:rsid w:val="0091155E"/>
    <w:rsid w:val="00912A92"/>
    <w:rsid w:val="009171D1"/>
    <w:rsid w:val="0091728D"/>
    <w:rsid w:val="009172CA"/>
    <w:rsid w:val="0092180B"/>
    <w:rsid w:val="00921F14"/>
    <w:rsid w:val="00924AC8"/>
    <w:rsid w:val="0092597A"/>
    <w:rsid w:val="00927894"/>
    <w:rsid w:val="00932443"/>
    <w:rsid w:val="00937AE2"/>
    <w:rsid w:val="009404B5"/>
    <w:rsid w:val="0094427A"/>
    <w:rsid w:val="00945EE9"/>
    <w:rsid w:val="00955F38"/>
    <w:rsid w:val="0096077C"/>
    <w:rsid w:val="00974923"/>
    <w:rsid w:val="00976E82"/>
    <w:rsid w:val="00980D3D"/>
    <w:rsid w:val="00987A30"/>
    <w:rsid w:val="00990989"/>
    <w:rsid w:val="00992CF3"/>
    <w:rsid w:val="009968D6"/>
    <w:rsid w:val="009A19F9"/>
    <w:rsid w:val="009A1CAB"/>
    <w:rsid w:val="009A60D1"/>
    <w:rsid w:val="009A754C"/>
    <w:rsid w:val="009B08EC"/>
    <w:rsid w:val="009B6FD3"/>
    <w:rsid w:val="009C0729"/>
    <w:rsid w:val="009C0B75"/>
    <w:rsid w:val="009C1750"/>
    <w:rsid w:val="009C2E29"/>
    <w:rsid w:val="009C554B"/>
    <w:rsid w:val="009C719E"/>
    <w:rsid w:val="009D3ACD"/>
    <w:rsid w:val="009E5273"/>
    <w:rsid w:val="009E5DDB"/>
    <w:rsid w:val="009F30E8"/>
    <w:rsid w:val="009F4CA7"/>
    <w:rsid w:val="00A10D66"/>
    <w:rsid w:val="00A14114"/>
    <w:rsid w:val="00A16413"/>
    <w:rsid w:val="00A23E43"/>
    <w:rsid w:val="00A30F65"/>
    <w:rsid w:val="00A351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8616B"/>
    <w:rsid w:val="00AA2659"/>
    <w:rsid w:val="00AA2996"/>
    <w:rsid w:val="00AA52BF"/>
    <w:rsid w:val="00AA559A"/>
    <w:rsid w:val="00AB2AF1"/>
    <w:rsid w:val="00AB437F"/>
    <w:rsid w:val="00AB5C19"/>
    <w:rsid w:val="00AD306C"/>
    <w:rsid w:val="00AE09B3"/>
    <w:rsid w:val="00AE1A83"/>
    <w:rsid w:val="00AF1FF8"/>
    <w:rsid w:val="00B00913"/>
    <w:rsid w:val="00B01593"/>
    <w:rsid w:val="00B06238"/>
    <w:rsid w:val="00B10A4D"/>
    <w:rsid w:val="00B1686C"/>
    <w:rsid w:val="00B17E71"/>
    <w:rsid w:val="00B17FDE"/>
    <w:rsid w:val="00B2379C"/>
    <w:rsid w:val="00B2687D"/>
    <w:rsid w:val="00B32DDB"/>
    <w:rsid w:val="00B34528"/>
    <w:rsid w:val="00B402FC"/>
    <w:rsid w:val="00B42F2D"/>
    <w:rsid w:val="00B44912"/>
    <w:rsid w:val="00B46604"/>
    <w:rsid w:val="00B51564"/>
    <w:rsid w:val="00B530CD"/>
    <w:rsid w:val="00B549A5"/>
    <w:rsid w:val="00B55F5E"/>
    <w:rsid w:val="00B5752E"/>
    <w:rsid w:val="00B63A11"/>
    <w:rsid w:val="00B64C24"/>
    <w:rsid w:val="00B6608F"/>
    <w:rsid w:val="00B679FB"/>
    <w:rsid w:val="00B70408"/>
    <w:rsid w:val="00B76D1E"/>
    <w:rsid w:val="00B80EC6"/>
    <w:rsid w:val="00B92D1D"/>
    <w:rsid w:val="00B938C5"/>
    <w:rsid w:val="00B95940"/>
    <w:rsid w:val="00BB46F3"/>
    <w:rsid w:val="00BB4CB1"/>
    <w:rsid w:val="00BB4F98"/>
    <w:rsid w:val="00BC5164"/>
    <w:rsid w:val="00BC6B60"/>
    <w:rsid w:val="00BC7154"/>
    <w:rsid w:val="00BD366B"/>
    <w:rsid w:val="00BD6D50"/>
    <w:rsid w:val="00BE0024"/>
    <w:rsid w:val="00BE18B9"/>
    <w:rsid w:val="00BE2495"/>
    <w:rsid w:val="00BF1578"/>
    <w:rsid w:val="00C02DB3"/>
    <w:rsid w:val="00C21F94"/>
    <w:rsid w:val="00C27913"/>
    <w:rsid w:val="00C3376C"/>
    <w:rsid w:val="00C33B68"/>
    <w:rsid w:val="00C36A79"/>
    <w:rsid w:val="00C405D4"/>
    <w:rsid w:val="00C42E6C"/>
    <w:rsid w:val="00C4513B"/>
    <w:rsid w:val="00C54697"/>
    <w:rsid w:val="00C60393"/>
    <w:rsid w:val="00C73885"/>
    <w:rsid w:val="00C747B1"/>
    <w:rsid w:val="00C81AF4"/>
    <w:rsid w:val="00C82191"/>
    <w:rsid w:val="00C90CF4"/>
    <w:rsid w:val="00C92EB6"/>
    <w:rsid w:val="00C93389"/>
    <w:rsid w:val="00C957FA"/>
    <w:rsid w:val="00CA321C"/>
    <w:rsid w:val="00CB4930"/>
    <w:rsid w:val="00CC2E7D"/>
    <w:rsid w:val="00CD10A5"/>
    <w:rsid w:val="00CD2076"/>
    <w:rsid w:val="00CD488F"/>
    <w:rsid w:val="00CE15A4"/>
    <w:rsid w:val="00CE670B"/>
    <w:rsid w:val="00CF51EC"/>
    <w:rsid w:val="00CF73AE"/>
    <w:rsid w:val="00CF7C1A"/>
    <w:rsid w:val="00D040DD"/>
    <w:rsid w:val="00D1205B"/>
    <w:rsid w:val="00D13986"/>
    <w:rsid w:val="00D235B7"/>
    <w:rsid w:val="00D25F28"/>
    <w:rsid w:val="00D27973"/>
    <w:rsid w:val="00D50F46"/>
    <w:rsid w:val="00D66223"/>
    <w:rsid w:val="00D67EDA"/>
    <w:rsid w:val="00D8084C"/>
    <w:rsid w:val="00DA7C0C"/>
    <w:rsid w:val="00DB2EC8"/>
    <w:rsid w:val="00DC3CB6"/>
    <w:rsid w:val="00DC5B3B"/>
    <w:rsid w:val="00DD129F"/>
    <w:rsid w:val="00DF42FF"/>
    <w:rsid w:val="00DF75BB"/>
    <w:rsid w:val="00E01C0E"/>
    <w:rsid w:val="00E03F9A"/>
    <w:rsid w:val="00E04694"/>
    <w:rsid w:val="00E051F2"/>
    <w:rsid w:val="00E1152B"/>
    <w:rsid w:val="00E12B1E"/>
    <w:rsid w:val="00E17262"/>
    <w:rsid w:val="00E253A2"/>
    <w:rsid w:val="00E270A5"/>
    <w:rsid w:val="00E278A7"/>
    <w:rsid w:val="00E27D82"/>
    <w:rsid w:val="00E3309D"/>
    <w:rsid w:val="00E34F40"/>
    <w:rsid w:val="00E40AE2"/>
    <w:rsid w:val="00E50156"/>
    <w:rsid w:val="00E53470"/>
    <w:rsid w:val="00E539F6"/>
    <w:rsid w:val="00E607E7"/>
    <w:rsid w:val="00E6519D"/>
    <w:rsid w:val="00E67696"/>
    <w:rsid w:val="00E67CFF"/>
    <w:rsid w:val="00E67E74"/>
    <w:rsid w:val="00E71A58"/>
    <w:rsid w:val="00E72A7A"/>
    <w:rsid w:val="00E75C94"/>
    <w:rsid w:val="00E76B4E"/>
    <w:rsid w:val="00E93820"/>
    <w:rsid w:val="00EA0C68"/>
    <w:rsid w:val="00EA32BC"/>
    <w:rsid w:val="00EB4511"/>
    <w:rsid w:val="00EB6DB2"/>
    <w:rsid w:val="00EC03D7"/>
    <w:rsid w:val="00EC4DC9"/>
    <w:rsid w:val="00ED62C6"/>
    <w:rsid w:val="00ED64C1"/>
    <w:rsid w:val="00EE3446"/>
    <w:rsid w:val="00EE3E78"/>
    <w:rsid w:val="00EE4B1B"/>
    <w:rsid w:val="00EF150D"/>
    <w:rsid w:val="00EF1F5A"/>
    <w:rsid w:val="00EF25CC"/>
    <w:rsid w:val="00EF302A"/>
    <w:rsid w:val="00EF47BF"/>
    <w:rsid w:val="00F04811"/>
    <w:rsid w:val="00F0488C"/>
    <w:rsid w:val="00F10A64"/>
    <w:rsid w:val="00F10F11"/>
    <w:rsid w:val="00F15AAA"/>
    <w:rsid w:val="00F15BEF"/>
    <w:rsid w:val="00F15E55"/>
    <w:rsid w:val="00F24407"/>
    <w:rsid w:val="00F24FAA"/>
    <w:rsid w:val="00F26DD0"/>
    <w:rsid w:val="00F3364D"/>
    <w:rsid w:val="00F34076"/>
    <w:rsid w:val="00F348FA"/>
    <w:rsid w:val="00F40A62"/>
    <w:rsid w:val="00F437CC"/>
    <w:rsid w:val="00F43A6B"/>
    <w:rsid w:val="00F47067"/>
    <w:rsid w:val="00F525EB"/>
    <w:rsid w:val="00F5355C"/>
    <w:rsid w:val="00F556CA"/>
    <w:rsid w:val="00F63DDE"/>
    <w:rsid w:val="00F63FB7"/>
    <w:rsid w:val="00F649D2"/>
    <w:rsid w:val="00F6602B"/>
    <w:rsid w:val="00F73A0C"/>
    <w:rsid w:val="00F756DB"/>
    <w:rsid w:val="00F85066"/>
    <w:rsid w:val="00F9030B"/>
    <w:rsid w:val="00F90BD6"/>
    <w:rsid w:val="00FA28A2"/>
    <w:rsid w:val="00FA5D4D"/>
    <w:rsid w:val="00FA6197"/>
    <w:rsid w:val="00FB0EE2"/>
    <w:rsid w:val="00FB542E"/>
    <w:rsid w:val="00FC0E5F"/>
    <w:rsid w:val="00FC1A95"/>
    <w:rsid w:val="00FC56DE"/>
    <w:rsid w:val="00FC684B"/>
    <w:rsid w:val="00FD3265"/>
    <w:rsid w:val="00FE2F78"/>
    <w:rsid w:val="00FE5959"/>
    <w:rsid w:val="00FF3C27"/>
    <w:rsid w:val="00FF4CC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CE15A4"/>
    <w:pPr>
      <w:spacing w:before="120"/>
    </w:pPr>
    <w:rPr>
      <w:b/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CE15A4"/>
    <w:pPr>
      <w:spacing w:before="60"/>
      <w:ind w:left="198"/>
    </w:pPr>
    <w:rPr>
      <w:b/>
      <w:noProof/>
    </w:rPr>
  </w:style>
  <w:style w:type="paragraph" w:styleId="Obsah3">
    <w:name w:val="toc 3"/>
    <w:basedOn w:val="Obsahpoloky"/>
    <w:next w:val="Obsahpoloky"/>
    <w:autoRedefine/>
    <w:uiPriority w:val="39"/>
    <w:unhideWhenUsed/>
    <w:rsid w:val="00CE15A4"/>
    <w:pPr>
      <w:ind w:left="400"/>
    </w:pPr>
    <w:rPr>
      <w:noProof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471EB7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471EB7"/>
    <w:rPr>
      <w:rFonts w:ascii="Arial" w:eastAsia="Times New Roman" w:hAnsi="Arial"/>
      <w:sz w:val="15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71EB7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1EB7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uiPriority w:val="99"/>
    <w:semiHidden/>
    <w:unhideWhenUsed/>
    <w:rsid w:val="00471EB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1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E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E6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E6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B309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1D9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681D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8353D1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</w:rPr>
  </w:style>
  <w:style w:type="paragraph" w:styleId="Titulek">
    <w:name w:val="caption"/>
    <w:basedOn w:val="Normln"/>
    <w:next w:val="Normln"/>
    <w:uiPriority w:val="35"/>
    <w:unhideWhenUsed/>
    <w:qFormat/>
    <w:rsid w:val="006C6C4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42E6C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CE15A4"/>
    <w:pPr>
      <w:spacing w:before="120"/>
    </w:pPr>
    <w:rPr>
      <w:b/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CE15A4"/>
    <w:pPr>
      <w:spacing w:before="60"/>
      <w:ind w:left="198"/>
    </w:pPr>
    <w:rPr>
      <w:b/>
      <w:noProof/>
    </w:rPr>
  </w:style>
  <w:style w:type="paragraph" w:styleId="Obsah3">
    <w:name w:val="toc 3"/>
    <w:basedOn w:val="Obsahpoloky"/>
    <w:next w:val="Obsahpoloky"/>
    <w:autoRedefine/>
    <w:uiPriority w:val="39"/>
    <w:unhideWhenUsed/>
    <w:rsid w:val="00CE15A4"/>
    <w:pPr>
      <w:ind w:left="400"/>
    </w:pPr>
    <w:rPr>
      <w:noProof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471EB7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471EB7"/>
    <w:rPr>
      <w:rFonts w:ascii="Arial" w:eastAsia="Times New Roman" w:hAnsi="Arial"/>
      <w:sz w:val="15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71EB7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1EB7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uiPriority w:val="99"/>
    <w:semiHidden/>
    <w:unhideWhenUsed/>
    <w:rsid w:val="00471EB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F1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E6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E6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E6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B309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1D9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681D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8353D1"/>
    <w:pPr>
      <w:spacing w:line="360" w:lineRule="auto"/>
      <w:ind w:firstLine="709"/>
      <w:jc w:val="both"/>
    </w:pPr>
    <w:rPr>
      <w:rFonts w:ascii="Arial" w:eastAsiaTheme="minorHAnsi" w:hAnsi="Arial" w:cstheme="minorBidi"/>
      <w:szCs w:val="22"/>
    </w:rPr>
  </w:style>
  <w:style w:type="paragraph" w:styleId="Titulek">
    <w:name w:val="caption"/>
    <w:basedOn w:val="Normln"/>
    <w:next w:val="Normln"/>
    <w:uiPriority w:val="35"/>
    <w:unhideWhenUsed/>
    <w:qFormat/>
    <w:rsid w:val="006C6C4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C42E6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hart" Target="charts/chart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chart" Target="charts/chart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10" Type="http://schemas.openxmlformats.org/officeDocument/2006/relationships/chart" Target="charts/chart2.xm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vcr.cz/clanek/datove-schranky-datove-schranky.aspx" TargetMode="External"/><Relationship Id="rId1" Type="http://schemas.openxmlformats.org/officeDocument/2006/relationships/hyperlink" Target="http://www.czechpoint.cz/publi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RBA~1\AppData\Local\Temp\Publikace%20bar%20CZ_veda%20IT_2017-08-14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ABFS2\DATA\DATA\ZPRAC\TECHNOL\oddeleni_6302\2_Informa&#269;n&#237;%20spole&#269;nost\IS%20v%20&#269;&#237;slech\IS_2018\IS2018_Grafy_Shrnut&#237;_CZ_B_C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ABFS2\DATA\DATA\ZPRAC\TECHNOL\oddeleni_6302\2_Informa&#269;n&#237;%20spole&#269;nost\IS%20v%20&#269;&#237;slech\IS_2018\grafy\IS2018_grafy_Shrnut&#237;_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E1 Výpisy z </a:t>
            </a:r>
            <a:r>
              <a:rPr lang="cs-CZ" sz="800" b="1"/>
              <a:t>vybraných rejstříků </a:t>
            </a:r>
          </a:p>
          <a:p>
            <a:pPr>
              <a:defRPr sz="800" b="1"/>
            </a:pPr>
            <a:r>
              <a:rPr lang="cs-CZ" sz="800" b="1"/>
              <a:t>poskytnuté občanům</a:t>
            </a:r>
            <a:r>
              <a:rPr lang="cs-CZ" sz="800" b="1" baseline="0"/>
              <a:t> prostřednictvím </a:t>
            </a:r>
            <a:r>
              <a:rPr lang="en-US" sz="800" b="1"/>
              <a:t>kontaktních míst Czech</a:t>
            </a:r>
            <a:r>
              <a:rPr lang="cs-CZ" sz="800" b="1"/>
              <a:t> </a:t>
            </a:r>
            <a:r>
              <a:rPr lang="en-US" sz="800" b="1"/>
              <a:t>P</a:t>
            </a:r>
            <a:r>
              <a:rPr lang="cs-CZ" sz="800" b="1"/>
              <a:t>OINT </a:t>
            </a:r>
            <a:r>
              <a:rPr lang="en-US" sz="800" b="1"/>
              <a:t> (v tis.)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1.2694444444444444E-2"/>
          <c:y val="0.1994607142857143"/>
          <c:w val="0.96885976842926924"/>
          <c:h val="0.6049876984126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List1!$A$4</c:f>
              <c:strCache>
                <c:ptCount val="1"/>
                <c:pt idx="0">
                  <c:v> Rejstřík trestů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List1!$D$3:$K$3</c:f>
              <c:numCache>
                <c:formatCode>@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 formatCode="General">
                  <c:v>2016</c:v>
                </c:pt>
                <c:pt idx="7" formatCode="General">
                  <c:v>2017</c:v>
                </c:pt>
              </c:numCache>
            </c:numRef>
          </c:cat>
          <c:val>
            <c:numRef>
              <c:f>List1!$D$4:$K$4</c:f>
              <c:numCache>
                <c:formatCode>#,##0</c:formatCode>
                <c:ptCount val="8"/>
                <c:pt idx="0">
                  <c:v>790.13</c:v>
                </c:pt>
                <c:pt idx="1">
                  <c:v>818.88400000000001</c:v>
                </c:pt>
                <c:pt idx="2">
                  <c:v>749.15</c:v>
                </c:pt>
                <c:pt idx="3">
                  <c:v>752.01800000000003</c:v>
                </c:pt>
                <c:pt idx="4">
                  <c:v>776.35699999999997</c:v>
                </c:pt>
                <c:pt idx="5">
                  <c:v>828.95500000000004</c:v>
                </c:pt>
                <c:pt idx="6">
                  <c:v>920.60400000000004</c:v>
                </c:pt>
                <c:pt idx="7">
                  <c:v>901.83399999999995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72-48E6-9437-4D6F21950599}"/>
            </c:ext>
          </c:extLst>
        </c:ser>
        <c:ser>
          <c:idx val="1"/>
          <c:order val="1"/>
          <c:tx>
            <c:strRef>
              <c:f>List1!$A$5</c:f>
              <c:strCache>
                <c:ptCount val="1"/>
                <c:pt idx="0">
                  <c:v> Katastr nemovitostí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List1!$D$3:$K$3</c:f>
              <c:numCache>
                <c:formatCode>@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 formatCode="General">
                  <c:v>2016</c:v>
                </c:pt>
                <c:pt idx="7" formatCode="General">
                  <c:v>2017</c:v>
                </c:pt>
              </c:numCache>
            </c:numRef>
          </c:cat>
          <c:val>
            <c:numRef>
              <c:f>List1!$D$5:$K$5</c:f>
              <c:numCache>
                <c:formatCode>#,##0</c:formatCode>
                <c:ptCount val="8"/>
                <c:pt idx="0">
                  <c:v>441.726</c:v>
                </c:pt>
                <c:pt idx="1">
                  <c:v>414.63299999999998</c:v>
                </c:pt>
                <c:pt idx="2">
                  <c:v>407.47800000000001</c:v>
                </c:pt>
                <c:pt idx="3">
                  <c:v>399.92500000000001</c:v>
                </c:pt>
                <c:pt idx="4">
                  <c:v>376.37799999999999</c:v>
                </c:pt>
                <c:pt idx="5">
                  <c:v>349.21800000000002</c:v>
                </c:pt>
                <c:pt idx="6">
                  <c:v>320.41199999999998</c:v>
                </c:pt>
                <c:pt idx="7">
                  <c:v>282.36799999999999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72-48E6-9437-4D6F21950599}"/>
            </c:ext>
          </c:extLst>
        </c:ser>
        <c:ser>
          <c:idx val="2"/>
          <c:order val="2"/>
          <c:tx>
            <c:strRef>
              <c:f>List1!$A$6</c:f>
              <c:strCache>
                <c:ptCount val="1"/>
                <c:pt idx="0">
                  <c:v> Obchodní rejstřík</c:v>
                </c:pt>
              </c:strCache>
            </c:strRef>
          </c:tx>
          <c:spPr>
            <a:solidFill>
              <a:srgbClr val="ABF3FF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List1!$D$3:$K$3</c:f>
              <c:numCache>
                <c:formatCode>@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 formatCode="General">
                  <c:v>2016</c:v>
                </c:pt>
                <c:pt idx="7" formatCode="General">
                  <c:v>2017</c:v>
                </c:pt>
              </c:numCache>
            </c:numRef>
          </c:cat>
          <c:val>
            <c:numRef>
              <c:f>List1!$D$6:$K$6</c:f>
              <c:numCache>
                <c:formatCode>#,##0</c:formatCode>
                <c:ptCount val="8"/>
                <c:pt idx="0">
                  <c:v>327.22500000000002</c:v>
                </c:pt>
                <c:pt idx="1">
                  <c:v>326.45499999999998</c:v>
                </c:pt>
                <c:pt idx="2">
                  <c:v>348.49200000000002</c:v>
                </c:pt>
                <c:pt idx="3">
                  <c:v>297.11799999999999</c:v>
                </c:pt>
                <c:pt idx="4">
                  <c:v>295.39100000000002</c:v>
                </c:pt>
                <c:pt idx="5">
                  <c:v>241.304</c:v>
                </c:pt>
                <c:pt idx="6">
                  <c:v>210.72</c:v>
                </c:pt>
                <c:pt idx="7">
                  <c:v>179.60400000000001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72-48E6-9437-4D6F219505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93637888"/>
        <c:axId val="192164928"/>
      </c:barChart>
      <c:catAx>
        <c:axId val="193637888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2164928"/>
        <c:crosses val="autoZero"/>
        <c:auto val="1"/>
        <c:lblAlgn val="ctr"/>
        <c:lblOffset val="100"/>
        <c:noMultiLvlLbl val="0"/>
      </c:catAx>
      <c:valAx>
        <c:axId val="192164928"/>
        <c:scaling>
          <c:orientation val="minMax"/>
          <c:max val="1150"/>
          <c:min val="0"/>
        </c:scaling>
        <c:delete val="0"/>
        <c:axPos val="l"/>
        <c:numFmt formatCode="#,##0" sourceLinked="0"/>
        <c:majorTickMark val="none"/>
        <c:minorTickMark val="none"/>
        <c:tickLblPos val="none"/>
        <c:spPr>
          <a:ln w="3175">
            <a:solidFill>
              <a:srgbClr val="808080"/>
            </a:solidFill>
            <a:prstDash val="solid"/>
          </a:ln>
        </c:spPr>
        <c:crossAx val="193637888"/>
        <c:crosses val="autoZero"/>
        <c:crossBetween val="between"/>
        <c:majorUnit val="50"/>
        <c:minorUnit val="10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4.1171895424836603E-2"/>
          <c:y val="0.21166666666666667"/>
          <c:w val="0.89401706720679452"/>
          <c:h val="9.7586507936507944E-2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E</a:t>
            </a:r>
            <a:r>
              <a:rPr lang="cs-CZ" sz="800" b="1"/>
              <a:t>9</a:t>
            </a:r>
            <a:r>
              <a:rPr lang="en-US" sz="800" b="1"/>
              <a:t> Da</a:t>
            </a:r>
            <a:r>
              <a:rPr lang="cs-CZ" sz="800" b="1"/>
              <a:t>ň</a:t>
            </a:r>
            <a:r>
              <a:rPr lang="en-US" sz="800" b="1"/>
              <a:t> z příjmu fyzických osob (DPFO) podan</a:t>
            </a:r>
            <a:r>
              <a:rPr lang="cs-CZ" sz="800" b="1"/>
              <a:t>á</a:t>
            </a:r>
            <a:r>
              <a:rPr lang="en-US" sz="800" b="1"/>
              <a:t> v Česku elektronicky pomocí EPO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2.9052287581699348E-2"/>
          <c:y val="0.14743888888888887"/>
          <c:w val="0.96650326797385622"/>
          <c:h val="0.714544348824223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List1!$A$175</c:f>
              <c:strCache>
                <c:ptCount val="1"/>
                <c:pt idx="0">
                  <c:v> Celkem elektronických podání v tis.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List1!$J$174:$N$174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List1!$J$175:$N$175</c:f>
              <c:numCache>
                <c:formatCode>#,##0.0</c:formatCode>
                <c:ptCount val="5"/>
                <c:pt idx="0">
                  <c:v>42.835999999999999</c:v>
                </c:pt>
                <c:pt idx="1">
                  <c:v>72.034999999999997</c:v>
                </c:pt>
                <c:pt idx="2">
                  <c:v>146.798</c:v>
                </c:pt>
                <c:pt idx="3">
                  <c:v>226.90299999999999</c:v>
                </c:pt>
                <c:pt idx="4">
                  <c:v>261.67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12-46EE-B57B-041ED509943F}"/>
            </c:ext>
          </c:extLst>
        </c:ser>
        <c:ser>
          <c:idx val="2"/>
          <c:order val="1"/>
          <c:tx>
            <c:strRef>
              <c:f>List1!$A$176</c:f>
              <c:strCache>
                <c:ptCount val="1"/>
                <c:pt idx="0">
                  <c:v> z toho se zaručeným e-podpisem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List1!$J$174:$N$174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List1!$J$176:$N$176</c:f>
              <c:numCache>
                <c:formatCode>#,##0.0</c:formatCode>
                <c:ptCount val="5"/>
                <c:pt idx="0">
                  <c:v>20.83</c:v>
                </c:pt>
                <c:pt idx="1">
                  <c:v>30.506</c:v>
                </c:pt>
                <c:pt idx="2">
                  <c:v>54.533000000000001</c:v>
                </c:pt>
                <c:pt idx="3">
                  <c:v>61.424999999999997</c:v>
                </c:pt>
                <c:pt idx="4">
                  <c:v>63.027999999999999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12-46EE-B57B-041ED5099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3995776"/>
        <c:axId val="195357504"/>
      </c:barChart>
      <c:lineChart>
        <c:grouping val="standard"/>
        <c:varyColors val="0"/>
        <c:ser>
          <c:idx val="1"/>
          <c:order val="2"/>
          <c:tx>
            <c:strRef>
              <c:f>List1!$A$177</c:f>
              <c:strCache>
                <c:ptCount val="1"/>
                <c:pt idx="0">
                  <c:v> % z celk. počtu podání DPFO</c:v>
                </c:pt>
              </c:strCache>
            </c:strRef>
          </c:tx>
          <c:spPr>
            <a:ln>
              <a:solidFill>
                <a:srgbClr val="47E5FF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>
                <a:solidFill>
                  <a:srgbClr val="47E5FF"/>
                </a:solidFill>
              </a:ln>
            </c:spPr>
          </c:marker>
          <c:dLbls>
            <c:dLbl>
              <c:idx val="3"/>
              <c:layout>
                <c:manualLayout>
                  <c:x val="-6.3686928104575241E-2"/>
                  <c:y val="4.40972222222221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107516339869282E-2"/>
                  <c:y val="4.8506944444444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</c:spPr>
            <c:txPr>
              <a:bodyPr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List1!$J$174:$N$174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List1!$J$177:$N$177</c:f>
              <c:numCache>
                <c:formatCode>0.0%</c:formatCode>
                <c:ptCount val="5"/>
                <c:pt idx="0">
                  <c:v>2.2049020929995541E-2</c:v>
                </c:pt>
                <c:pt idx="1">
                  <c:v>3.332445113076915E-2</c:v>
                </c:pt>
                <c:pt idx="2">
                  <c:v>6.875237100558737E-2</c:v>
                </c:pt>
                <c:pt idx="3">
                  <c:v>0.10767428981701306</c:v>
                </c:pt>
                <c:pt idx="4">
                  <c:v>0.1208657511164158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860928"/>
        <c:axId val="195358080"/>
      </c:lineChart>
      <c:catAx>
        <c:axId val="19399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5357504"/>
        <c:crosses val="autoZero"/>
        <c:auto val="1"/>
        <c:lblAlgn val="ctr"/>
        <c:lblOffset val="100"/>
        <c:noMultiLvlLbl val="0"/>
      </c:catAx>
      <c:valAx>
        <c:axId val="195357504"/>
        <c:scaling>
          <c:orientation val="minMax"/>
          <c:max val="350"/>
          <c:min val="0"/>
        </c:scaling>
        <c:delete val="0"/>
        <c:axPos val="l"/>
        <c:numFmt formatCode="#,##0" sourceLinked="0"/>
        <c:majorTickMark val="none"/>
        <c:minorTickMark val="none"/>
        <c:tickLblPos val="none"/>
        <c:crossAx val="193995776"/>
        <c:crosses val="autoZero"/>
        <c:crossBetween val="between"/>
        <c:majorUnit val="50"/>
        <c:minorUnit val="10"/>
      </c:valAx>
      <c:valAx>
        <c:axId val="195358080"/>
        <c:scaling>
          <c:orientation val="minMax"/>
        </c:scaling>
        <c:delete val="0"/>
        <c:axPos val="r"/>
        <c:numFmt formatCode="0.0%" sourceLinked="1"/>
        <c:majorTickMark val="none"/>
        <c:minorTickMark val="none"/>
        <c:tickLblPos val="none"/>
        <c:crossAx val="196860928"/>
        <c:crosses val="max"/>
        <c:crossBetween val="between"/>
      </c:valAx>
      <c:catAx>
        <c:axId val="1968609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5358080"/>
        <c:crosses val="autoZero"/>
        <c:auto val="1"/>
        <c:lblAlgn val="ctr"/>
        <c:lblOffset val="100"/>
        <c:noMultiLvlLbl val="0"/>
      </c:catAx>
      <c:spPr>
        <a:noFill/>
        <a:ln w="12700">
          <a:solidFill>
            <a:srgbClr val="A6A6A6"/>
          </a:solidFill>
          <a:prstDash val="solid"/>
        </a:ln>
      </c:spPr>
    </c:plotArea>
    <c:legend>
      <c:legendPos val="t"/>
      <c:legendEntry>
        <c:idx val="2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6.2616666666666654E-2"/>
          <c:y val="0.15792430555555559"/>
          <c:w val="0.66679411764705887"/>
          <c:h val="0.11040520833333334"/>
        </c:manualLayout>
      </c:layout>
      <c:overlay val="0"/>
      <c:spPr>
        <a:noFill/>
        <a:ln w="9525"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E1</a:t>
            </a:r>
            <a:r>
              <a:rPr lang="cs-CZ" sz="800" b="1"/>
              <a:t>0</a:t>
            </a:r>
            <a:r>
              <a:rPr lang="en-US" sz="800" b="1"/>
              <a:t> Da</a:t>
            </a:r>
            <a:r>
              <a:rPr lang="cs-CZ" sz="800" b="1"/>
              <a:t>ň</a:t>
            </a:r>
            <a:r>
              <a:rPr lang="en-US" sz="800" b="1"/>
              <a:t> z příjmu </a:t>
            </a:r>
            <a:r>
              <a:rPr lang="cs-CZ" sz="800" b="1"/>
              <a:t>právnických</a:t>
            </a:r>
            <a:r>
              <a:rPr lang="en-US" sz="800" b="1"/>
              <a:t> osob (DP</a:t>
            </a:r>
            <a:r>
              <a:rPr lang="cs-CZ" sz="800" b="1"/>
              <a:t>P</a:t>
            </a:r>
            <a:r>
              <a:rPr lang="en-US" sz="800" b="1"/>
              <a:t>O) podan</a:t>
            </a:r>
            <a:r>
              <a:rPr lang="cs-CZ" sz="800" b="1"/>
              <a:t>á</a:t>
            </a:r>
            <a:r>
              <a:rPr lang="en-US" sz="800" b="1"/>
              <a:t> v Česku elektronicky pomocí EPO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2.9052287581699348E-2"/>
          <c:y val="0.14743888888888887"/>
          <c:w val="0.96650326797385622"/>
          <c:h val="0.714544348824223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List1!$A$198</c:f>
              <c:strCache>
                <c:ptCount val="1"/>
                <c:pt idx="0">
                  <c:v> Celkem elektronických podání v tis.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List1!$J$197:$N$197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List1!$J$198:$N$198</c:f>
              <c:numCache>
                <c:formatCode>#,##0.0</c:formatCode>
                <c:ptCount val="5"/>
                <c:pt idx="0">
                  <c:v>28.547000000000001</c:v>
                </c:pt>
                <c:pt idx="1">
                  <c:v>43.139000000000003</c:v>
                </c:pt>
                <c:pt idx="2">
                  <c:v>154.745</c:v>
                </c:pt>
                <c:pt idx="3">
                  <c:v>185.93799999999999</c:v>
                </c:pt>
                <c:pt idx="4">
                  <c:v>212.643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12-46EE-B57B-041ED509943F}"/>
            </c:ext>
          </c:extLst>
        </c:ser>
        <c:ser>
          <c:idx val="2"/>
          <c:order val="1"/>
          <c:tx>
            <c:strRef>
              <c:f>List1!$A$199</c:f>
              <c:strCache>
                <c:ptCount val="1"/>
                <c:pt idx="0">
                  <c:v> z toho se zaručeným e-podpisem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List1!$J$197:$N$197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List1!$J$199:$N$199</c:f>
              <c:numCache>
                <c:formatCode>#,##0.0</c:formatCode>
                <c:ptCount val="5"/>
                <c:pt idx="0">
                  <c:v>22.834</c:v>
                </c:pt>
                <c:pt idx="1">
                  <c:v>29.997</c:v>
                </c:pt>
                <c:pt idx="2">
                  <c:v>65.599000000000004</c:v>
                </c:pt>
                <c:pt idx="3">
                  <c:v>65.188000000000002</c:v>
                </c:pt>
                <c:pt idx="4">
                  <c:v>67.206000000000003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12-46EE-B57B-041ED5099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3997312"/>
        <c:axId val="195359808"/>
      </c:barChart>
      <c:lineChart>
        <c:grouping val="standard"/>
        <c:varyColors val="0"/>
        <c:ser>
          <c:idx val="1"/>
          <c:order val="2"/>
          <c:tx>
            <c:strRef>
              <c:f>List1!$A$200</c:f>
              <c:strCache>
                <c:ptCount val="1"/>
                <c:pt idx="0">
                  <c:v> % z celk. počtu podání DPPO</c:v>
                </c:pt>
              </c:strCache>
            </c:strRef>
          </c:tx>
          <c:spPr>
            <a:ln>
              <a:solidFill>
                <a:srgbClr val="00C5E6"/>
              </a:solidFill>
            </a:ln>
          </c:spPr>
          <c:marker>
            <c:symbol val="diamond"/>
            <c:size val="4"/>
            <c:spPr>
              <a:solidFill>
                <a:srgbClr val="009BB4"/>
              </a:solidFill>
              <a:ln>
                <a:solidFill>
                  <a:srgbClr val="00C5E6"/>
                </a:solidFill>
              </a:ln>
            </c:spPr>
          </c:marker>
          <c:dLbls>
            <c:dLbl>
              <c:idx val="1"/>
              <c:layout>
                <c:manualLayout>
                  <c:x val="-0.10311503267973857"/>
                  <c:y val="-9.9648611111111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0664052287581773E-2"/>
                  <c:y val="-6.173611111111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2363398692810605E-2"/>
                  <c:y val="6.6145833333333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558496732026141E-2"/>
                  <c:y val="-5.2916666666666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</c:spPr>
            <c:txPr>
              <a:bodyPr/>
              <a:lstStyle/>
              <a:p>
                <a:pPr>
                  <a:defRPr b="1" i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List1!$J$197:$N$197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List1!$J$200:$N$200</c:f>
              <c:numCache>
                <c:formatCode>0.0%</c:formatCode>
                <c:ptCount val="5"/>
                <c:pt idx="0">
                  <c:v>7.4409936269207208E-2</c:v>
                </c:pt>
                <c:pt idx="1">
                  <c:v>0.10886072116221734</c:v>
                </c:pt>
                <c:pt idx="2">
                  <c:v>0.37570682509584175</c:v>
                </c:pt>
                <c:pt idx="3">
                  <c:v>0.42712358094853048</c:v>
                </c:pt>
                <c:pt idx="4">
                  <c:v>0.44453619540585515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997824"/>
        <c:axId val="195360384"/>
      </c:lineChart>
      <c:catAx>
        <c:axId val="19399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5359808"/>
        <c:crosses val="autoZero"/>
        <c:auto val="1"/>
        <c:lblAlgn val="ctr"/>
        <c:lblOffset val="100"/>
        <c:noMultiLvlLbl val="0"/>
      </c:catAx>
      <c:valAx>
        <c:axId val="195359808"/>
        <c:scaling>
          <c:orientation val="minMax"/>
          <c:max val="350"/>
          <c:min val="0"/>
        </c:scaling>
        <c:delete val="0"/>
        <c:axPos val="l"/>
        <c:numFmt formatCode="#,##0" sourceLinked="0"/>
        <c:majorTickMark val="none"/>
        <c:minorTickMark val="none"/>
        <c:tickLblPos val="none"/>
        <c:crossAx val="193997312"/>
        <c:crosses val="autoZero"/>
        <c:crossBetween val="between"/>
        <c:majorUnit val="50"/>
        <c:minorUnit val="10"/>
      </c:valAx>
      <c:valAx>
        <c:axId val="195360384"/>
        <c:scaling>
          <c:orientation val="minMax"/>
          <c:max val="0.60000000000000009"/>
        </c:scaling>
        <c:delete val="0"/>
        <c:axPos val="r"/>
        <c:numFmt formatCode="0.0%" sourceLinked="1"/>
        <c:majorTickMark val="none"/>
        <c:minorTickMark val="none"/>
        <c:tickLblPos val="none"/>
        <c:crossAx val="193997824"/>
        <c:crosses val="max"/>
        <c:crossBetween val="between"/>
        <c:majorUnit val="5.000000000000001E-2"/>
      </c:valAx>
      <c:catAx>
        <c:axId val="193997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5360384"/>
        <c:crosses val="autoZero"/>
        <c:auto val="1"/>
        <c:lblAlgn val="ctr"/>
        <c:lblOffset val="100"/>
        <c:noMultiLvlLbl val="0"/>
      </c:catAx>
      <c:spPr>
        <a:noFill/>
        <a:ln w="12700">
          <a:solidFill>
            <a:srgbClr val="A6A6A6"/>
          </a:solidFill>
          <a:prstDash val="solid"/>
        </a:ln>
      </c:spPr>
    </c:plotArea>
    <c:legend>
      <c:legendPos val="t"/>
      <c:legendEntry>
        <c:idx val="2"/>
        <c:txPr>
          <a:bodyPr/>
          <a:lstStyle/>
          <a:p>
            <a:pPr>
              <a:defRPr i="0"/>
            </a:pPr>
            <a:endParaRPr lang="cs-CZ"/>
          </a:p>
        </c:txPr>
      </c:legendEntry>
      <c:layout>
        <c:manualLayout>
          <c:xMode val="edge"/>
          <c:yMode val="edge"/>
          <c:x val="5.0165686274509805E-2"/>
          <c:y val="0.15792430555555559"/>
          <c:w val="0.68339542483660132"/>
          <c:h val="0.13686354166666667"/>
        </c:manualLayout>
      </c:layout>
      <c:overlay val="0"/>
      <c:spPr>
        <a:noFill/>
        <a:ln w="9525"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i="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E11 Jednotlivci v Česku používající internet při jednání s úřady (%)*</a:t>
            </a:r>
            <a:endParaRPr lang="en-US" sz="800" b="1"/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6302083333333334"/>
          <c:y val="0.1222906432748538"/>
          <c:w val="0.79678839940588297"/>
          <c:h val="0.7322482456140351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List1!$B$221</c:f>
              <c:strCache>
                <c:ptCount val="1"/>
                <c:pt idx="0">
                  <c:v> 2010</c:v>
                </c:pt>
              </c:strCache>
            </c:strRef>
          </c:tx>
          <c:spPr>
            <a:solidFill>
              <a:srgbClr val="00C5E6"/>
            </a:solidFill>
          </c:spPr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List1!$A$222:$A$232</c:f>
              <c:strCache>
                <c:ptCount val="11"/>
                <c:pt idx="0">
                  <c:v>  65+</c:v>
                </c:pt>
                <c:pt idx="1">
                  <c:v>  55–64</c:v>
                </c:pt>
                <c:pt idx="2">
                  <c:v>  45–54</c:v>
                </c:pt>
                <c:pt idx="3">
                  <c:v>  35–44</c:v>
                </c:pt>
                <c:pt idx="4">
                  <c:v>  25–34</c:v>
                </c:pt>
                <c:pt idx="5">
                  <c:v>  16–24</c:v>
                </c:pt>
                <c:pt idx="7">
                  <c:v>ženy</c:v>
                </c:pt>
                <c:pt idx="8">
                  <c:v>muži</c:v>
                </c:pt>
                <c:pt idx="10">
                  <c:v>Celkem</c:v>
                </c:pt>
              </c:strCache>
            </c:strRef>
          </c:cat>
          <c:val>
            <c:numRef>
              <c:f>List1!$B$222:$B$232</c:f>
              <c:numCache>
                <c:formatCode>0%</c:formatCode>
                <c:ptCount val="11"/>
                <c:pt idx="0">
                  <c:v>3.3000000000000002E-2</c:v>
                </c:pt>
                <c:pt idx="1">
                  <c:v>0.13900000000000001</c:v>
                </c:pt>
                <c:pt idx="2">
                  <c:v>0.26100000000000001</c:v>
                </c:pt>
                <c:pt idx="3">
                  <c:v>0.32</c:v>
                </c:pt>
                <c:pt idx="4">
                  <c:v>0.34699999999999998</c:v>
                </c:pt>
                <c:pt idx="5">
                  <c:v>0.17</c:v>
                </c:pt>
                <c:pt idx="7">
                  <c:v>0.17100000000000001</c:v>
                </c:pt>
                <c:pt idx="8">
                  <c:v>0.21299999999999999</c:v>
                </c:pt>
                <c:pt idx="10">
                  <c:v>0.191</c:v>
                </c:pt>
              </c:numCache>
            </c:numRef>
          </c:val>
        </c:ser>
        <c:ser>
          <c:idx val="1"/>
          <c:order val="1"/>
          <c:tx>
            <c:strRef>
              <c:f>List1!$C$221</c:f>
              <c:strCache>
                <c:ptCount val="1"/>
                <c:pt idx="0">
                  <c:v> 2017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dLbl>
              <c:idx val="1"/>
              <c:layout>
                <c:manualLayout>
                  <c:x val="-9.50255780996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List1!$A$222:$A$232</c:f>
              <c:strCache>
                <c:ptCount val="11"/>
                <c:pt idx="0">
                  <c:v>  65+</c:v>
                </c:pt>
                <c:pt idx="1">
                  <c:v>  55–64</c:v>
                </c:pt>
                <c:pt idx="2">
                  <c:v>  45–54</c:v>
                </c:pt>
                <c:pt idx="3">
                  <c:v>  35–44</c:v>
                </c:pt>
                <c:pt idx="4">
                  <c:v>  25–34</c:v>
                </c:pt>
                <c:pt idx="5">
                  <c:v>  16–24</c:v>
                </c:pt>
                <c:pt idx="7">
                  <c:v>ženy</c:v>
                </c:pt>
                <c:pt idx="8">
                  <c:v>muži</c:v>
                </c:pt>
                <c:pt idx="10">
                  <c:v>Celkem</c:v>
                </c:pt>
              </c:strCache>
            </c:strRef>
          </c:cat>
          <c:val>
            <c:numRef>
              <c:f>List1!$C$222:$C$232</c:f>
              <c:numCache>
                <c:formatCode>0%</c:formatCode>
                <c:ptCount val="11"/>
                <c:pt idx="0">
                  <c:v>0.12487552503717686</c:v>
                </c:pt>
                <c:pt idx="1">
                  <c:v>0.33517384229327013</c:v>
                </c:pt>
                <c:pt idx="2">
                  <c:v>0.46797213725276487</c:v>
                </c:pt>
                <c:pt idx="3">
                  <c:v>0.5350000858462437</c:v>
                </c:pt>
                <c:pt idx="4">
                  <c:v>0.50928391641613358</c:v>
                </c:pt>
                <c:pt idx="5">
                  <c:v>0.2866963970328506</c:v>
                </c:pt>
                <c:pt idx="7">
                  <c:v>0.35721920068060647</c:v>
                </c:pt>
                <c:pt idx="8">
                  <c:v>0.38773560343413199</c:v>
                </c:pt>
                <c:pt idx="10">
                  <c:v>0.37213354562944917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93996800"/>
        <c:axId val="195362112"/>
      </c:barChart>
      <c:catAx>
        <c:axId val="193996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5362112"/>
        <c:crosses val="autoZero"/>
        <c:auto val="1"/>
        <c:lblAlgn val="ctr"/>
        <c:lblOffset val="100"/>
        <c:noMultiLvlLbl val="0"/>
      </c:catAx>
      <c:valAx>
        <c:axId val="195362112"/>
        <c:scaling>
          <c:orientation val="minMax"/>
          <c:max val="0.70000000000000007"/>
        </c:scaling>
        <c:delete val="0"/>
        <c:axPos val="b"/>
        <c:numFmt formatCode="0%" sourceLinked="1"/>
        <c:majorTickMark val="none"/>
        <c:minorTickMark val="none"/>
        <c:tickLblPos val="none"/>
        <c:crossAx val="193996800"/>
        <c:crosses val="autoZero"/>
        <c:crossBetween val="between"/>
        <c:majorUnit val="0.1"/>
        <c:minorUnit val="5.0000000000000024E-2"/>
      </c:valAx>
      <c:spPr>
        <a:ln w="1270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69500496031746029"/>
          <c:y val="0.1415736842105263"/>
          <c:w val="0.2323452380952381"/>
          <c:h val="7.7120679012345691E-2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E12 Jednotlivci v Česku</a:t>
            </a:r>
            <a:r>
              <a:rPr lang="cs-CZ" sz="800" b="1" baseline="0"/>
              <a:t> ve věku </a:t>
            </a:r>
            <a:r>
              <a:rPr lang="cs-CZ" sz="800" b="1"/>
              <a:t>16 let </a:t>
            </a:r>
          </a:p>
          <a:p>
            <a:pPr>
              <a:defRPr sz="800" b="1"/>
            </a:pPr>
            <a:r>
              <a:rPr lang="cs-CZ" sz="800" b="1"/>
              <a:t>a starší používající internet při jednání </a:t>
            </a:r>
          </a:p>
          <a:p>
            <a:pPr>
              <a:defRPr sz="800" b="1"/>
            </a:pPr>
            <a:r>
              <a:rPr lang="cs-CZ" sz="800" b="1"/>
              <a:t>s úřady k vybraným činnostem (%)*</a:t>
            </a:r>
            <a:endParaRPr lang="en-US" sz="800" b="1"/>
          </a:p>
        </c:rich>
      </c:tx>
      <c:layout>
        <c:manualLayout>
          <c:xMode val="edge"/>
          <c:yMode val="edge"/>
          <c:x val="0.22276532567049809"/>
          <c:y val="2.303102841702482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7221395502645501"/>
          <c:y val="0.16066286549707604"/>
          <c:w val="0.68759523809523804"/>
          <c:h val="0.664168421052631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List1!$B$238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00C5E6"/>
            </a:solidFill>
          </c:spPr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List1!$A$239:$A$244</c:f>
              <c:strCache>
                <c:ptCount val="6"/>
                <c:pt idx="0">
                  <c:v>vyplnění  
a odeslání 
formulářů</c:v>
                </c:pt>
                <c:pt idx="1">
                  <c:v>stahování
formulářů </c:v>
                </c:pt>
                <c:pt idx="2">
                  <c:v>komunikace 
s úřady
 e-mailem</c:v>
                </c:pt>
                <c:pt idx="3">
                  <c:v>vyhledávání
informací</c:v>
                </c:pt>
                <c:pt idx="5">
                  <c:v>Celkem</c:v>
                </c:pt>
              </c:strCache>
            </c:strRef>
          </c:cat>
          <c:val>
            <c:numRef>
              <c:f>List1!$B$239:$B$244</c:f>
              <c:numCache>
                <c:formatCode>0%</c:formatCode>
                <c:ptCount val="6"/>
                <c:pt idx="0">
                  <c:v>5.2853099829607196E-2</c:v>
                </c:pt>
                <c:pt idx="1">
                  <c:v>9.4483935853873102E-2</c:v>
                </c:pt>
                <c:pt idx="2">
                  <c:v>8.6799800941040187E-2</c:v>
                </c:pt>
                <c:pt idx="3">
                  <c:v>0.19117451988612999</c:v>
                </c:pt>
                <c:pt idx="5">
                  <c:v>0.191</c:v>
                </c:pt>
              </c:numCache>
            </c:numRef>
          </c:val>
        </c:ser>
        <c:ser>
          <c:idx val="1"/>
          <c:order val="1"/>
          <c:tx>
            <c:strRef>
              <c:f>List1!$C$238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dLbl>
              <c:idx val="1"/>
              <c:layout>
                <c:manualLayout>
                  <c:x val="-9.50255780996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List1!$A$239:$A$244</c:f>
              <c:strCache>
                <c:ptCount val="6"/>
                <c:pt idx="0">
                  <c:v>vyplnění  
a odeslání 
formulářů</c:v>
                </c:pt>
                <c:pt idx="1">
                  <c:v>stahování
formulářů </c:v>
                </c:pt>
                <c:pt idx="2">
                  <c:v>komunikace 
s úřady
 e-mailem</c:v>
                </c:pt>
                <c:pt idx="3">
                  <c:v>vyhledávání
informací</c:v>
                </c:pt>
                <c:pt idx="5">
                  <c:v>Celkem</c:v>
                </c:pt>
              </c:strCache>
            </c:strRef>
          </c:cat>
          <c:val>
            <c:numRef>
              <c:f>List1!$C$239:$C$244</c:f>
              <c:numCache>
                <c:formatCode>0%</c:formatCode>
                <c:ptCount val="6"/>
                <c:pt idx="0">
                  <c:v>0.10603181303745521</c:v>
                </c:pt>
                <c:pt idx="1">
                  <c:v>0.14520847535473902</c:v>
                </c:pt>
                <c:pt idx="2">
                  <c:v>0.15949454297617599</c:v>
                </c:pt>
                <c:pt idx="3">
                  <c:v>0.34143145219394599</c:v>
                </c:pt>
                <c:pt idx="5">
                  <c:v>0.37213354562944917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97318144"/>
        <c:axId val="194135744"/>
      </c:barChart>
      <c:catAx>
        <c:axId val="1973181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4135744"/>
        <c:crosses val="autoZero"/>
        <c:auto val="1"/>
        <c:lblAlgn val="ctr"/>
        <c:lblOffset val="100"/>
        <c:noMultiLvlLbl val="0"/>
      </c:catAx>
      <c:valAx>
        <c:axId val="194135744"/>
        <c:scaling>
          <c:orientation val="minMax"/>
          <c:max val="0.5"/>
        </c:scaling>
        <c:delete val="0"/>
        <c:axPos val="b"/>
        <c:numFmt formatCode="0%" sourceLinked="1"/>
        <c:majorTickMark val="none"/>
        <c:minorTickMark val="none"/>
        <c:tickLblPos val="none"/>
        <c:crossAx val="197318144"/>
        <c:crosses val="autoZero"/>
        <c:crossBetween val="between"/>
        <c:majorUnit val="5.000000000000001E-2"/>
        <c:minorUnit val="1.0000000000000002E-2"/>
      </c:valAx>
      <c:spPr>
        <a:ln w="1270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69920469576719579"/>
          <c:y val="0.26061049382716045"/>
          <c:w val="0.21554629629629629"/>
          <c:h val="0.11631820987654323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949831649831647E-2"/>
          <c:y val="0.10228368055555556"/>
          <c:w val="0.90411750841750838"/>
          <c:h val="0.60425972222222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E_CZ!$B$255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Pt>
            <c:idx val="7"/>
            <c:invertIfNegative val="0"/>
            <c:bubble3D val="0"/>
            <c:spPr>
              <a:solidFill>
                <a:srgbClr val="009BB4"/>
              </a:solidFill>
              <a:ln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>
                <a:noFill/>
              </a:ln>
            </c:spPr>
          </c:dPt>
          <c:dPt>
            <c:idx val="15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Pt>
            <c:idx val="21"/>
            <c:invertIfNegative val="0"/>
            <c:bubble3D val="0"/>
            <c:spPr>
              <a:solidFill>
                <a:srgbClr val="009BB4"/>
              </a:solidFill>
              <a:ln>
                <a:solidFill>
                  <a:srgbClr val="FF0000"/>
                </a:solidFill>
              </a:ln>
            </c:spPr>
          </c:dPt>
          <c:dPt>
            <c:idx val="28"/>
            <c:invertIfNegative val="0"/>
            <c:bubble3D val="0"/>
          </c:dPt>
          <c:dLbls>
            <c:dLbl>
              <c:idx val="4"/>
              <c:layout>
                <c:manualLayout>
                  <c:x val="0"/>
                  <c:y val="0.13333024691358025"/>
                </c:manualLayout>
              </c:layout>
              <c:spPr/>
              <c:txPr>
                <a:bodyPr rot="-5400000" vert="horz"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/>
              <c:txPr>
                <a:bodyPr rot="-5400000" vert="horz"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cs-CZ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7.4846110275751244E-17"/>
                  <c:y val="8.2373456790123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2.0412811337564732E-3"/>
                  <c:y val="9.41327160493827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5.8641975308641977E-5"/>
                </c:manualLayout>
              </c:layout>
              <c:spPr/>
              <c:txPr>
                <a:bodyPr rot="-5400000" vert="horz"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1.4969222055150249E-16"/>
                  <c:y val="3.978395061728323E-3"/>
                </c:manualLayout>
              </c:layout>
              <c:spPr/>
              <c:txPr>
                <a:bodyPr rot="-5400000" vert="horz"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0"/>
                  <c:y val="5.864197530871384E-5"/>
                </c:manualLayout>
              </c:layout>
              <c:spPr/>
              <c:txPr>
                <a:bodyPr rot="-5400000" vert="horz"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1.4969222055150249E-16"/>
                  <c:y val="-1.7787962962962964E-2"/>
                </c:manualLayout>
              </c:layout>
              <c:spPr/>
              <c:txPr>
                <a:bodyPr rot="-5400000" vert="horz"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E_CZ!$A$256:$A$284</c:f>
              <c:strCache>
                <c:ptCount val="29"/>
                <c:pt idx="0">
                  <c:v>Dánsko</c:v>
                </c:pt>
                <c:pt idx="1">
                  <c:v>Švédsko</c:v>
                </c:pt>
                <c:pt idx="2">
                  <c:v>Finsko</c:v>
                </c:pt>
                <c:pt idx="3">
                  <c:v>Nizozemsko</c:v>
                </c:pt>
                <c:pt idx="4">
                  <c:v>Estonsko</c:v>
                </c:pt>
                <c:pt idx="5">
                  <c:v>Lucembursko</c:v>
                </c:pt>
                <c:pt idx="6">
                  <c:v>Lotyšsko</c:v>
                </c:pt>
                <c:pt idx="7">
                  <c:v>Francie</c:v>
                </c:pt>
                <c:pt idx="8">
                  <c:v>Rakousko</c:v>
                </c:pt>
                <c:pt idx="9">
                  <c:v>Irsko</c:v>
                </c:pt>
                <c:pt idx="10">
                  <c:v>Belgie</c:v>
                </c:pt>
                <c:pt idx="11">
                  <c:v>Německo</c:v>
                </c:pt>
                <c:pt idx="12">
                  <c:v>Španělsko</c:v>
                </c:pt>
                <c:pt idx="13">
                  <c:v>Slovinsko</c:v>
                </c:pt>
                <c:pt idx="14">
                  <c:v>Velká Británie</c:v>
                </c:pt>
                <c:pt idx="15">
                  <c:v>EU28</c:v>
                </c:pt>
                <c:pt idx="16">
                  <c:v>Litva</c:v>
                </c:pt>
                <c:pt idx="17">
                  <c:v>Slovensko</c:v>
                </c:pt>
                <c:pt idx="18">
                  <c:v>Řecko</c:v>
                </c:pt>
                <c:pt idx="19">
                  <c:v>Maďarsko</c:v>
                </c:pt>
                <c:pt idx="20">
                  <c:v>Portugalsko</c:v>
                </c:pt>
                <c:pt idx="21">
                  <c:v>Česko</c:v>
                </c:pt>
                <c:pt idx="22">
                  <c:v>Malta</c:v>
                </c:pt>
                <c:pt idx="23">
                  <c:v>Kypr</c:v>
                </c:pt>
                <c:pt idx="24">
                  <c:v>Chorvatsko</c:v>
                </c:pt>
                <c:pt idx="25">
                  <c:v>Polsko</c:v>
                </c:pt>
                <c:pt idx="26">
                  <c:v>Itálie</c:v>
                </c:pt>
                <c:pt idx="27">
                  <c:v>Bulharsko</c:v>
                </c:pt>
                <c:pt idx="28">
                  <c:v>Rumunsko</c:v>
                </c:pt>
              </c:strCache>
            </c:strRef>
          </c:cat>
          <c:val>
            <c:numRef>
              <c:f>E_CZ!$B$256:$B$284</c:f>
              <c:numCache>
                <c:formatCode>0%</c:formatCode>
                <c:ptCount val="29"/>
                <c:pt idx="0">
                  <c:v>0.89213699999999996</c:v>
                </c:pt>
                <c:pt idx="1">
                  <c:v>0.84186499999999997</c:v>
                </c:pt>
                <c:pt idx="2">
                  <c:v>0.82969000000000004</c:v>
                </c:pt>
                <c:pt idx="3">
                  <c:v>0.79115500000000005</c:v>
                </c:pt>
                <c:pt idx="4">
                  <c:v>0.77984299999999995</c:v>
                </c:pt>
                <c:pt idx="5">
                  <c:v>0.75126599999999999</c:v>
                </c:pt>
                <c:pt idx="6">
                  <c:v>0.68506400000000001</c:v>
                </c:pt>
                <c:pt idx="7">
                  <c:v>0.67922199999999999</c:v>
                </c:pt>
                <c:pt idx="8">
                  <c:v>0.61977899999999997</c:v>
                </c:pt>
                <c:pt idx="9">
                  <c:v>0.55340699999999998</c:v>
                </c:pt>
                <c:pt idx="10">
                  <c:v>0.55138299999999996</c:v>
                </c:pt>
                <c:pt idx="11">
                  <c:v>0.53472399999999998</c:v>
                </c:pt>
                <c:pt idx="12">
                  <c:v>0.52351199999999998</c:v>
                </c:pt>
                <c:pt idx="13">
                  <c:v>0.49860500000000002</c:v>
                </c:pt>
                <c:pt idx="14">
                  <c:v>0.490124</c:v>
                </c:pt>
                <c:pt idx="15">
                  <c:v>0.48795699999999997</c:v>
                </c:pt>
                <c:pt idx="16">
                  <c:v>0.48401100000000002</c:v>
                </c:pt>
                <c:pt idx="17">
                  <c:v>0.47484500000000002</c:v>
                </c:pt>
                <c:pt idx="18">
                  <c:v>0.47353099999999998</c:v>
                </c:pt>
                <c:pt idx="19">
                  <c:v>0.47131099999999998</c:v>
                </c:pt>
                <c:pt idx="20">
                  <c:v>0.45983800000000002</c:v>
                </c:pt>
                <c:pt idx="21">
                  <c:v>0.45595999999999998</c:v>
                </c:pt>
                <c:pt idx="22">
                  <c:v>0.45066800000000001</c:v>
                </c:pt>
                <c:pt idx="23">
                  <c:v>0.42303400000000002</c:v>
                </c:pt>
                <c:pt idx="24">
                  <c:v>0.32195600000000002</c:v>
                </c:pt>
                <c:pt idx="25">
                  <c:v>0.308139</c:v>
                </c:pt>
                <c:pt idx="26">
                  <c:v>0.245563</c:v>
                </c:pt>
                <c:pt idx="27">
                  <c:v>0.206679</c:v>
                </c:pt>
                <c:pt idx="28">
                  <c:v>8.7326000000000001E-2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97318656"/>
        <c:axId val="194136896"/>
      </c:barChart>
      <c:barChart>
        <c:barDir val="col"/>
        <c:grouping val="clustered"/>
        <c:varyColors val="0"/>
        <c:ser>
          <c:idx val="1"/>
          <c:order val="1"/>
          <c:tx>
            <c:strRef>
              <c:f>E_CZ!$C$255</c:f>
              <c:strCache>
                <c:ptCount val="1"/>
                <c:pt idx="0">
                  <c:v> z toho pro online vyplnění a odeslání formulářů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E_CZ!$A$256:$A$284</c:f>
              <c:strCache>
                <c:ptCount val="29"/>
                <c:pt idx="0">
                  <c:v>Dánsko</c:v>
                </c:pt>
                <c:pt idx="1">
                  <c:v>Švédsko</c:v>
                </c:pt>
                <c:pt idx="2">
                  <c:v>Finsko</c:v>
                </c:pt>
                <c:pt idx="3">
                  <c:v>Nizozemsko</c:v>
                </c:pt>
                <c:pt idx="4">
                  <c:v>Estonsko</c:v>
                </c:pt>
                <c:pt idx="5">
                  <c:v>Lucembursko</c:v>
                </c:pt>
                <c:pt idx="6">
                  <c:v>Lotyšsko</c:v>
                </c:pt>
                <c:pt idx="7">
                  <c:v>Francie</c:v>
                </c:pt>
                <c:pt idx="8">
                  <c:v>Rakousko</c:v>
                </c:pt>
                <c:pt idx="9">
                  <c:v>Irsko</c:v>
                </c:pt>
                <c:pt idx="10">
                  <c:v>Belgie</c:v>
                </c:pt>
                <c:pt idx="11">
                  <c:v>Německo</c:v>
                </c:pt>
                <c:pt idx="12">
                  <c:v>Španělsko</c:v>
                </c:pt>
                <c:pt idx="13">
                  <c:v>Slovinsko</c:v>
                </c:pt>
                <c:pt idx="14">
                  <c:v>Velká Británie</c:v>
                </c:pt>
                <c:pt idx="15">
                  <c:v>EU28</c:v>
                </c:pt>
                <c:pt idx="16">
                  <c:v>Litva</c:v>
                </c:pt>
                <c:pt idx="17">
                  <c:v>Slovensko</c:v>
                </c:pt>
                <c:pt idx="18">
                  <c:v>Řecko</c:v>
                </c:pt>
                <c:pt idx="19">
                  <c:v>Maďarsko</c:v>
                </c:pt>
                <c:pt idx="20">
                  <c:v>Portugalsko</c:v>
                </c:pt>
                <c:pt idx="21">
                  <c:v>Česko</c:v>
                </c:pt>
                <c:pt idx="22">
                  <c:v>Malta</c:v>
                </c:pt>
                <c:pt idx="23">
                  <c:v>Kypr</c:v>
                </c:pt>
                <c:pt idx="24">
                  <c:v>Chorvatsko</c:v>
                </c:pt>
                <c:pt idx="25">
                  <c:v>Polsko</c:v>
                </c:pt>
                <c:pt idx="26">
                  <c:v>Itálie</c:v>
                </c:pt>
                <c:pt idx="27">
                  <c:v>Bulharsko</c:v>
                </c:pt>
                <c:pt idx="28">
                  <c:v>Rumunsko</c:v>
                </c:pt>
              </c:strCache>
            </c:strRef>
          </c:cat>
          <c:val>
            <c:numRef>
              <c:f>E_CZ!$C$256:$C$284</c:f>
              <c:numCache>
                <c:formatCode>0%</c:formatCode>
                <c:ptCount val="29"/>
                <c:pt idx="0">
                  <c:v>0.70931599999999995</c:v>
                </c:pt>
                <c:pt idx="1">
                  <c:v>0.71543000000000001</c:v>
                </c:pt>
                <c:pt idx="2">
                  <c:v>0.657443</c:v>
                </c:pt>
                <c:pt idx="3">
                  <c:v>0.56178300000000003</c:v>
                </c:pt>
                <c:pt idx="4">
                  <c:v>0.69696999999999998</c:v>
                </c:pt>
                <c:pt idx="5">
                  <c:v>0.36044199999999998</c:v>
                </c:pt>
                <c:pt idx="6">
                  <c:v>0.38529099999999999</c:v>
                </c:pt>
                <c:pt idx="7">
                  <c:v>0.53162799999999999</c:v>
                </c:pt>
                <c:pt idx="8">
                  <c:v>0.36660399999999999</c:v>
                </c:pt>
                <c:pt idx="9">
                  <c:v>0.52155700000000005</c:v>
                </c:pt>
                <c:pt idx="10">
                  <c:v>0.369535</c:v>
                </c:pt>
                <c:pt idx="11">
                  <c:v>0.179562</c:v>
                </c:pt>
                <c:pt idx="12">
                  <c:v>0.33166400000000001</c:v>
                </c:pt>
                <c:pt idx="13">
                  <c:v>0.18104500000000001</c:v>
                </c:pt>
                <c:pt idx="14">
                  <c:v>0.34507599999999999</c:v>
                </c:pt>
                <c:pt idx="15">
                  <c:v>0.30114299999999999</c:v>
                </c:pt>
                <c:pt idx="16">
                  <c:v>0.37434899999999999</c:v>
                </c:pt>
                <c:pt idx="17">
                  <c:v>0.153804</c:v>
                </c:pt>
                <c:pt idx="18">
                  <c:v>0.24301200000000001</c:v>
                </c:pt>
                <c:pt idx="19">
                  <c:v>0.29060999999999998</c:v>
                </c:pt>
                <c:pt idx="20">
                  <c:v>0.31686399999999998</c:v>
                </c:pt>
                <c:pt idx="21">
                  <c:v>0.13939699999999999</c:v>
                </c:pt>
                <c:pt idx="22">
                  <c:v>0.202292</c:v>
                </c:pt>
                <c:pt idx="23">
                  <c:v>0.24356700000000001</c:v>
                </c:pt>
                <c:pt idx="24">
                  <c:v>0.14794299999999999</c:v>
                </c:pt>
                <c:pt idx="25">
                  <c:v>0.21038299999999999</c:v>
                </c:pt>
                <c:pt idx="26">
                  <c:v>0.133357</c:v>
                </c:pt>
                <c:pt idx="27">
                  <c:v>8.2916000000000004E-2</c:v>
                </c:pt>
                <c:pt idx="28">
                  <c:v>3.5020000000000003E-2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551104"/>
        <c:axId val="194137472"/>
      </c:barChart>
      <c:catAx>
        <c:axId val="19731865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4136896"/>
        <c:crosses val="autoZero"/>
        <c:auto val="1"/>
        <c:lblAlgn val="ctr"/>
        <c:lblOffset val="100"/>
        <c:noMultiLvlLbl val="0"/>
      </c:catAx>
      <c:valAx>
        <c:axId val="194136896"/>
        <c:scaling>
          <c:orientation val="minMax"/>
          <c:max val="1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197318656"/>
        <c:crosses val="autoZero"/>
        <c:crossBetween val="between"/>
        <c:majorUnit val="0.1"/>
        <c:minorUnit val="5.000000000000001E-2"/>
      </c:valAx>
      <c:valAx>
        <c:axId val="194137472"/>
        <c:scaling>
          <c:orientation val="minMax"/>
          <c:max val="1"/>
        </c:scaling>
        <c:delete val="0"/>
        <c:axPos val="r"/>
        <c:numFmt formatCode="0%" sourceLinked="1"/>
        <c:majorTickMark val="none"/>
        <c:minorTickMark val="none"/>
        <c:tickLblPos val="none"/>
        <c:crossAx val="197551104"/>
        <c:crosses val="max"/>
        <c:crossBetween val="between"/>
      </c:valAx>
      <c:catAx>
        <c:axId val="197551104"/>
        <c:scaling>
          <c:orientation val="minMax"/>
        </c:scaling>
        <c:delete val="1"/>
        <c:axPos val="b"/>
        <c:majorTickMark val="out"/>
        <c:minorTickMark val="none"/>
        <c:tickLblPos val="nextTo"/>
        <c:crossAx val="194137472"/>
        <c:crosses val="autoZero"/>
        <c:auto val="1"/>
        <c:lblAlgn val="ctr"/>
        <c:lblOffset val="100"/>
        <c:noMultiLvlLbl val="0"/>
      </c:catAx>
      <c:spPr>
        <a:ln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56853247798831907"/>
          <c:y val="0.13253055555555557"/>
          <c:w val="0.38190280512210478"/>
          <c:h val="0.1163820987654321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E</a:t>
            </a:r>
            <a:r>
              <a:rPr lang="cs-CZ" sz="800" b="1"/>
              <a:t>2</a:t>
            </a:r>
            <a:r>
              <a:rPr lang="en-US" sz="800" b="1"/>
              <a:t> </a:t>
            </a:r>
            <a:r>
              <a:rPr lang="cs-CZ" sz="800" b="1"/>
              <a:t>Autorizované konverze dokumentů  </a:t>
            </a:r>
          </a:p>
          <a:p>
            <a:pPr>
              <a:defRPr sz="800" b="1"/>
            </a:pPr>
            <a:r>
              <a:rPr lang="cs-CZ" sz="800" b="1"/>
              <a:t>poskytnuté občanům</a:t>
            </a:r>
            <a:r>
              <a:rPr lang="cs-CZ" sz="800" b="1" baseline="0"/>
              <a:t>  prostřednictvím </a:t>
            </a:r>
            <a:r>
              <a:rPr lang="en-US" sz="800" b="1"/>
              <a:t>kontaktních míst Czech</a:t>
            </a:r>
            <a:r>
              <a:rPr lang="cs-CZ" sz="800" b="1"/>
              <a:t> </a:t>
            </a:r>
            <a:r>
              <a:rPr lang="en-US" sz="800" b="1"/>
              <a:t>P</a:t>
            </a:r>
            <a:r>
              <a:rPr lang="cs-CZ" sz="800" b="1"/>
              <a:t>OINT </a:t>
            </a:r>
            <a:r>
              <a:rPr lang="en-US" sz="800" b="1"/>
              <a:t>(v tis.)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1.2694444444444444E-2"/>
          <c:y val="0.1994607142857143"/>
          <c:w val="0.96885976842926924"/>
          <c:h val="0.6049876984126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List1!$A$25</c:f>
              <c:strCache>
                <c:ptCount val="1"/>
                <c:pt idx="0">
                  <c:v>z elektronické do listinné podoby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List1!$B$24:$I$24</c:f>
              <c:numCache>
                <c:formatCode>@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 formatCode="General">
                  <c:v>2016</c:v>
                </c:pt>
                <c:pt idx="7" formatCode="General">
                  <c:v>2017</c:v>
                </c:pt>
              </c:numCache>
            </c:numRef>
          </c:cat>
          <c:val>
            <c:numRef>
              <c:f>List1!$B$25:$I$25</c:f>
              <c:numCache>
                <c:formatCode>#,##0</c:formatCode>
                <c:ptCount val="8"/>
                <c:pt idx="0">
                  <c:v>83.483999999999995</c:v>
                </c:pt>
                <c:pt idx="1">
                  <c:v>97.775999999999996</c:v>
                </c:pt>
                <c:pt idx="2">
                  <c:v>165.26300000000001</c:v>
                </c:pt>
                <c:pt idx="3">
                  <c:v>302.66899999999998</c:v>
                </c:pt>
                <c:pt idx="4">
                  <c:v>310.07299999999998</c:v>
                </c:pt>
                <c:pt idx="5">
                  <c:v>301.92500000000001</c:v>
                </c:pt>
                <c:pt idx="6">
                  <c:v>283.97899999999998</c:v>
                </c:pt>
                <c:pt idx="7">
                  <c:v>274.80599999999998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72-48E6-9437-4D6F21950599}"/>
            </c:ext>
          </c:extLst>
        </c:ser>
        <c:ser>
          <c:idx val="1"/>
          <c:order val="1"/>
          <c:tx>
            <c:strRef>
              <c:f>List1!$A$26</c:f>
              <c:strCache>
                <c:ptCount val="1"/>
                <c:pt idx="0">
                  <c:v>z listinné do elektronické podoby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List1!$B$24:$I$24</c:f>
              <c:numCache>
                <c:formatCode>@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 formatCode="General">
                  <c:v>2016</c:v>
                </c:pt>
                <c:pt idx="7" formatCode="General">
                  <c:v>2017</c:v>
                </c:pt>
              </c:numCache>
            </c:numRef>
          </c:cat>
          <c:val>
            <c:numRef>
              <c:f>List1!$B$26:$I$26</c:f>
              <c:numCache>
                <c:formatCode>#,##0</c:formatCode>
                <c:ptCount val="8"/>
                <c:pt idx="0">
                  <c:v>7.6950000000000003</c:v>
                </c:pt>
                <c:pt idx="1">
                  <c:v>24.678999999999998</c:v>
                </c:pt>
                <c:pt idx="2">
                  <c:v>50.820999999999998</c:v>
                </c:pt>
                <c:pt idx="3">
                  <c:v>94.200999999999993</c:v>
                </c:pt>
                <c:pt idx="4">
                  <c:v>95.852000000000004</c:v>
                </c:pt>
                <c:pt idx="5">
                  <c:v>139.35499999999999</c:v>
                </c:pt>
                <c:pt idx="6">
                  <c:v>160.298</c:v>
                </c:pt>
                <c:pt idx="7">
                  <c:v>198.08199999999999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72-48E6-9437-4D6F219505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93713664"/>
        <c:axId val="192166656"/>
      </c:barChart>
      <c:catAx>
        <c:axId val="193713664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2166656"/>
        <c:crosses val="autoZero"/>
        <c:auto val="1"/>
        <c:lblAlgn val="ctr"/>
        <c:lblOffset val="100"/>
        <c:noMultiLvlLbl val="0"/>
      </c:catAx>
      <c:valAx>
        <c:axId val="192166656"/>
        <c:scaling>
          <c:orientation val="minMax"/>
          <c:max val="400"/>
          <c:min val="0"/>
        </c:scaling>
        <c:delete val="0"/>
        <c:axPos val="l"/>
        <c:numFmt formatCode="#,##0" sourceLinked="0"/>
        <c:majorTickMark val="none"/>
        <c:minorTickMark val="none"/>
        <c:tickLblPos val="none"/>
        <c:spPr>
          <a:ln w="3175">
            <a:solidFill>
              <a:srgbClr val="808080"/>
            </a:solidFill>
            <a:prstDash val="solid"/>
          </a:ln>
        </c:spPr>
        <c:crossAx val="193713664"/>
        <c:crosses val="autoZero"/>
        <c:crossBetween val="between"/>
        <c:majorUnit val="50"/>
        <c:minorUnit val="10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4.1171895424836603E-2"/>
          <c:y val="0.21166666666666667"/>
          <c:w val="0.89401706720679452"/>
          <c:h val="0.11270555555555556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E</a:t>
            </a:r>
            <a:r>
              <a:rPr lang="cs-CZ" sz="800" b="1"/>
              <a:t>3</a:t>
            </a:r>
            <a:r>
              <a:rPr lang="en-US" sz="800" b="1"/>
              <a:t> </a:t>
            </a:r>
            <a:r>
              <a:rPr lang="cs-CZ" sz="800" b="1"/>
              <a:t>Zápisy </a:t>
            </a:r>
            <a:r>
              <a:rPr lang="en-US" sz="800" b="1"/>
              <a:t>z </a:t>
            </a:r>
            <a:r>
              <a:rPr lang="cs-CZ" sz="800" b="1"/>
              <a:t>moci úřední vybraných agend  </a:t>
            </a:r>
          </a:p>
          <a:p>
            <a:pPr>
              <a:defRPr sz="800" b="1"/>
            </a:pPr>
            <a:r>
              <a:rPr lang="cs-CZ" sz="800" b="1"/>
              <a:t>provedené úředníky </a:t>
            </a:r>
            <a:r>
              <a:rPr lang="cs-CZ" sz="800" b="1" baseline="0"/>
              <a:t>prostřednictvím neveřejné aplikace </a:t>
            </a:r>
            <a:r>
              <a:rPr lang="en-US" sz="800" b="1"/>
              <a:t>CzechP</a:t>
            </a:r>
            <a:r>
              <a:rPr lang="cs-CZ" sz="800" b="1"/>
              <a:t>OINT@office </a:t>
            </a:r>
            <a:r>
              <a:rPr lang="en-US" sz="800" b="1"/>
              <a:t>(v tis.)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1.2694444444444444E-2"/>
          <c:y val="0.1994607142857143"/>
          <c:w val="0.96885976842926924"/>
          <c:h val="0.6049876984126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List1!$A$47</c:f>
              <c:strCache>
                <c:ptCount val="1"/>
                <c:pt idx="0">
                  <c:v>Agendy matrik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List1!$B$46:$I$46</c:f>
              <c:numCache>
                <c:formatCode>@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 formatCode="General">
                  <c:v>2016</c:v>
                </c:pt>
                <c:pt idx="7" formatCode="General">
                  <c:v>2017</c:v>
                </c:pt>
              </c:numCache>
            </c:numRef>
          </c:cat>
          <c:val>
            <c:numRef>
              <c:f>List1!$B$47:$I$47</c:f>
              <c:numCache>
                <c:formatCode>#,##0</c:formatCode>
                <c:ptCount val="8"/>
                <c:pt idx="0">
                  <c:v>196.89599999999999</c:v>
                </c:pt>
                <c:pt idx="1">
                  <c:v>392.834</c:v>
                </c:pt>
                <c:pt idx="2">
                  <c:v>401.54199999999997</c:v>
                </c:pt>
                <c:pt idx="3">
                  <c:v>402.14299999999997</c:v>
                </c:pt>
                <c:pt idx="4">
                  <c:v>406.42500000000001</c:v>
                </c:pt>
                <c:pt idx="5">
                  <c:v>420.49799999999999</c:v>
                </c:pt>
                <c:pt idx="6">
                  <c:v>426.017</c:v>
                </c:pt>
                <c:pt idx="7">
                  <c:v>434.24099999999999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72-48E6-9437-4D6F21950599}"/>
            </c:ext>
          </c:extLst>
        </c:ser>
        <c:ser>
          <c:idx val="1"/>
          <c:order val="1"/>
          <c:tx>
            <c:strRef>
              <c:f>List1!$A$48</c:f>
              <c:strCache>
                <c:ptCount val="1"/>
                <c:pt idx="0">
                  <c:v>Agendy ohlašoven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tx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List1!$B$46:$I$46</c:f>
              <c:numCache>
                <c:formatCode>@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 formatCode="General">
                  <c:v>2016</c:v>
                </c:pt>
                <c:pt idx="7" formatCode="General">
                  <c:v>2017</c:v>
                </c:pt>
              </c:numCache>
            </c:numRef>
          </c:cat>
          <c:val>
            <c:numRef>
              <c:f>List1!$B$48:$I$48</c:f>
              <c:numCache>
                <c:formatCode>#,##0</c:formatCode>
                <c:ptCount val="8"/>
                <c:pt idx="0">
                  <c:v>134.82900000000001</c:v>
                </c:pt>
                <c:pt idx="1">
                  <c:v>285.65499999999997</c:v>
                </c:pt>
                <c:pt idx="2">
                  <c:v>317.154</c:v>
                </c:pt>
                <c:pt idx="3">
                  <c:v>384.78399999999999</c:v>
                </c:pt>
                <c:pt idx="4">
                  <c:v>398.52199999999999</c:v>
                </c:pt>
                <c:pt idx="5">
                  <c:v>423.54899999999998</c:v>
                </c:pt>
                <c:pt idx="6">
                  <c:v>455.61599999999999</c:v>
                </c:pt>
                <c:pt idx="7">
                  <c:v>448.86799999999999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72-48E6-9437-4D6F21950599}"/>
            </c:ext>
          </c:extLst>
        </c:ser>
        <c:ser>
          <c:idx val="2"/>
          <c:order val="2"/>
          <c:tx>
            <c:strRef>
              <c:f>List1!$A$49</c:f>
              <c:strCache>
                <c:ptCount val="1"/>
                <c:pt idx="0">
                  <c:v>Agendy soudů</c:v>
                </c:pt>
              </c:strCache>
            </c:strRef>
          </c:tx>
          <c:spPr>
            <a:solidFill>
              <a:srgbClr val="ABF3FF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List1!$B$46:$I$46</c:f>
              <c:numCache>
                <c:formatCode>@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 formatCode="General">
                  <c:v>2016</c:v>
                </c:pt>
                <c:pt idx="7" formatCode="General">
                  <c:v>2017</c:v>
                </c:pt>
              </c:numCache>
            </c:numRef>
          </c:cat>
          <c:val>
            <c:numRef>
              <c:f>List1!$B$49:$I$49</c:f>
              <c:numCache>
                <c:formatCode>#,##0</c:formatCode>
                <c:ptCount val="8"/>
                <c:pt idx="0">
                  <c:v>12.73</c:v>
                </c:pt>
                <c:pt idx="1">
                  <c:v>28.988</c:v>
                </c:pt>
                <c:pt idx="2">
                  <c:v>27.933</c:v>
                </c:pt>
                <c:pt idx="3">
                  <c:v>31.640999999999998</c:v>
                </c:pt>
                <c:pt idx="4">
                  <c:v>31.37</c:v>
                </c:pt>
                <c:pt idx="5">
                  <c:v>38.524999999999999</c:v>
                </c:pt>
                <c:pt idx="6">
                  <c:v>41.776000000000003</c:v>
                </c:pt>
                <c:pt idx="7">
                  <c:v>37.012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72-48E6-9437-4D6F219505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93715200"/>
        <c:axId val="190308928"/>
      </c:barChart>
      <c:catAx>
        <c:axId val="193715200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0308928"/>
        <c:crosses val="autoZero"/>
        <c:auto val="1"/>
        <c:lblAlgn val="ctr"/>
        <c:lblOffset val="100"/>
        <c:noMultiLvlLbl val="0"/>
      </c:catAx>
      <c:valAx>
        <c:axId val="190308928"/>
        <c:scaling>
          <c:orientation val="minMax"/>
          <c:max val="600"/>
          <c:min val="0"/>
        </c:scaling>
        <c:delete val="0"/>
        <c:axPos val="l"/>
        <c:numFmt formatCode="#,##0" sourceLinked="0"/>
        <c:majorTickMark val="none"/>
        <c:minorTickMark val="none"/>
        <c:tickLblPos val="none"/>
        <c:spPr>
          <a:ln w="3175">
            <a:solidFill>
              <a:srgbClr val="808080"/>
            </a:solidFill>
            <a:prstDash val="solid"/>
          </a:ln>
        </c:spPr>
        <c:crossAx val="193715200"/>
        <c:crosses val="autoZero"/>
        <c:crossBetween val="between"/>
        <c:majorUnit val="50"/>
        <c:minorUnit val="10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4.1171895424836603E-2"/>
          <c:y val="0.21166666666666667"/>
          <c:w val="0.89401706720679452"/>
          <c:h val="9.7586507936507944E-2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E</a:t>
            </a:r>
            <a:r>
              <a:rPr lang="cs-CZ" sz="800" b="1"/>
              <a:t>4</a:t>
            </a:r>
            <a:r>
              <a:rPr lang="en-US" sz="800" b="1"/>
              <a:t> </a:t>
            </a:r>
            <a:r>
              <a:rPr lang="cs-CZ" sz="800" b="1"/>
              <a:t>Autorizované konverze dokumentů  </a:t>
            </a:r>
          </a:p>
          <a:p>
            <a:pPr>
              <a:defRPr sz="800" b="1"/>
            </a:pPr>
            <a:r>
              <a:rPr lang="cs-CZ" sz="800" b="1"/>
              <a:t>provedené úředníky </a:t>
            </a:r>
            <a:r>
              <a:rPr lang="cs-CZ" sz="800" b="1" baseline="0"/>
              <a:t>prostřednictvím </a:t>
            </a:r>
          </a:p>
          <a:p>
            <a:pPr>
              <a:defRPr sz="800" b="1"/>
            </a:pPr>
            <a:r>
              <a:rPr lang="cs-CZ" sz="800" b="1" baseline="0"/>
              <a:t>neveřejné aplikace Czech Point@office</a:t>
            </a:r>
            <a:r>
              <a:rPr lang="en-US" sz="800" b="1"/>
              <a:t> (v tis.)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1.2694444444444444E-2"/>
          <c:y val="0.1994607142857143"/>
          <c:w val="0.96885976842926924"/>
          <c:h val="0.60498769841269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List1!$A$69</c:f>
              <c:strCache>
                <c:ptCount val="1"/>
                <c:pt idx="0">
                  <c:v>z elektronické do listinné podoby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List1!$B$68:$I$68</c:f>
              <c:numCache>
                <c:formatCode>@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 formatCode="General">
                  <c:v>2016</c:v>
                </c:pt>
                <c:pt idx="7" formatCode="General">
                  <c:v>2017</c:v>
                </c:pt>
              </c:numCache>
            </c:numRef>
          </c:cat>
          <c:val>
            <c:numRef>
              <c:f>List1!$B$69:$I$69</c:f>
              <c:numCache>
                <c:formatCode>#,##0</c:formatCode>
                <c:ptCount val="8"/>
                <c:pt idx="0">
                  <c:v>1008.2670000000001</c:v>
                </c:pt>
                <c:pt idx="1">
                  <c:v>1555.415</c:v>
                </c:pt>
                <c:pt idx="2">
                  <c:v>1712.84</c:v>
                </c:pt>
                <c:pt idx="3">
                  <c:v>1219.6869999999999</c:v>
                </c:pt>
                <c:pt idx="4">
                  <c:v>1009.792</c:v>
                </c:pt>
                <c:pt idx="5">
                  <c:v>891.90300000000002</c:v>
                </c:pt>
                <c:pt idx="6">
                  <c:v>739.81200000000001</c:v>
                </c:pt>
                <c:pt idx="7">
                  <c:v>624.10299999999995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72-48E6-9437-4D6F21950599}"/>
            </c:ext>
          </c:extLst>
        </c:ser>
        <c:ser>
          <c:idx val="1"/>
          <c:order val="1"/>
          <c:tx>
            <c:strRef>
              <c:f>List1!$A$70</c:f>
              <c:strCache>
                <c:ptCount val="1"/>
                <c:pt idx="0">
                  <c:v>z listinné do elektronické podoby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List1!$B$68:$I$68</c:f>
              <c:numCache>
                <c:formatCode>@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 formatCode="General">
                  <c:v>2016</c:v>
                </c:pt>
                <c:pt idx="7" formatCode="General">
                  <c:v>2017</c:v>
                </c:pt>
              </c:numCache>
            </c:numRef>
          </c:cat>
          <c:val>
            <c:numRef>
              <c:f>List1!$B$70:$I$70</c:f>
              <c:numCache>
                <c:formatCode>#,##0</c:formatCode>
                <c:ptCount val="8"/>
                <c:pt idx="0">
                  <c:v>4587.09</c:v>
                </c:pt>
                <c:pt idx="1">
                  <c:v>6247.6949999999997</c:v>
                </c:pt>
                <c:pt idx="2">
                  <c:v>7183.1109999999999</c:v>
                </c:pt>
                <c:pt idx="3">
                  <c:v>6005.7120000000004</c:v>
                </c:pt>
                <c:pt idx="4">
                  <c:v>6248.1660000000002</c:v>
                </c:pt>
                <c:pt idx="5">
                  <c:v>5662.3860000000004</c:v>
                </c:pt>
                <c:pt idx="6">
                  <c:v>5136.4970000000003</c:v>
                </c:pt>
                <c:pt idx="7">
                  <c:v>4402.125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72-48E6-9437-4D6F219505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90698496"/>
        <c:axId val="190310656"/>
      </c:barChart>
      <c:catAx>
        <c:axId val="190698496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0310656"/>
        <c:crosses val="autoZero"/>
        <c:auto val="1"/>
        <c:lblAlgn val="ctr"/>
        <c:lblOffset val="100"/>
        <c:noMultiLvlLbl val="0"/>
      </c:catAx>
      <c:valAx>
        <c:axId val="190310656"/>
        <c:scaling>
          <c:orientation val="minMax"/>
          <c:max val="10000"/>
          <c:min val="0"/>
        </c:scaling>
        <c:delete val="0"/>
        <c:axPos val="l"/>
        <c:numFmt formatCode="#,##0" sourceLinked="0"/>
        <c:majorTickMark val="none"/>
        <c:minorTickMark val="none"/>
        <c:tickLblPos val="none"/>
        <c:spPr>
          <a:ln w="3175">
            <a:solidFill>
              <a:srgbClr val="808080"/>
            </a:solidFill>
            <a:prstDash val="solid"/>
          </a:ln>
        </c:spPr>
        <c:crossAx val="190698496"/>
        <c:crosses val="autoZero"/>
        <c:crossBetween val="between"/>
        <c:majorUnit val="1000"/>
        <c:minorUnit val="10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4.1171895424836603E-2"/>
          <c:y val="0.23686507936507936"/>
          <c:w val="0.89401706720679452"/>
          <c:h val="0.11270555555555556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E</a:t>
            </a:r>
            <a:r>
              <a:rPr lang="cs-CZ" sz="800" b="1"/>
              <a:t>5</a:t>
            </a:r>
            <a:r>
              <a:rPr lang="en-US" sz="800" b="1"/>
              <a:t> Nově zřízené datové schránky</a:t>
            </a:r>
            <a:r>
              <a:rPr lang="cs-CZ" sz="800" b="1"/>
              <a:t> v Česku</a:t>
            </a:r>
          </a:p>
          <a:p>
            <a:pPr>
              <a:defRPr sz="800" b="1"/>
            </a:pPr>
            <a:r>
              <a:rPr lang="cs-CZ" sz="800" b="1"/>
              <a:t>podle povinnosti jejich zřízení</a:t>
            </a:r>
            <a:r>
              <a:rPr lang="en-US" sz="800" b="1"/>
              <a:t> (v tis.)</a:t>
            </a:r>
          </a:p>
        </c:rich>
      </c:tx>
      <c:layout>
        <c:manualLayout>
          <c:xMode val="edge"/>
          <c:yMode val="edge"/>
          <c:x val="8.8899673202614382E-2"/>
          <c:y val="3.023809523809523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1.2694444444444444E-2"/>
          <c:y val="0.14906388888888888"/>
          <c:w val="0.96885976842926924"/>
          <c:h val="0.655384523809523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List1!$A$90</c:f>
              <c:strCache>
                <c:ptCount val="1"/>
                <c:pt idx="0">
                  <c:v>zřízeno ze zákona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dLbl>
              <c:idx val="0"/>
              <c:layout/>
              <c:spPr>
                <a:noFill/>
                <a:ln>
                  <a:noFill/>
                </a:ln>
                <a:effectLst/>
              </c:spPr>
              <c:txPr>
                <a:bodyPr rot="-5400000" vert="horz"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List1!$B$89:$J$89</c:f>
              <c:numCache>
                <c:formatCode>@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 formatCode="General">
                  <c:v>2016</c:v>
                </c:pt>
                <c:pt idx="8" formatCode="General">
                  <c:v>2017</c:v>
                </c:pt>
              </c:numCache>
            </c:numRef>
          </c:cat>
          <c:val>
            <c:numRef>
              <c:f>List1!$B$90:$J$90</c:f>
              <c:numCache>
                <c:formatCode>#,##0</c:formatCode>
                <c:ptCount val="9"/>
                <c:pt idx="0">
                  <c:v>360.52699999999999</c:v>
                </c:pt>
                <c:pt idx="1">
                  <c:v>27.620999999999999</c:v>
                </c:pt>
                <c:pt idx="2">
                  <c:v>24.806999999999999</c:v>
                </c:pt>
                <c:pt idx="3">
                  <c:v>36.664999999999999</c:v>
                </c:pt>
                <c:pt idx="4">
                  <c:v>25.210999999999999</c:v>
                </c:pt>
                <c:pt idx="5">
                  <c:v>30.954000000000001</c:v>
                </c:pt>
                <c:pt idx="6">
                  <c:v>28.548999999999999</c:v>
                </c:pt>
                <c:pt idx="7">
                  <c:v>30.349</c:v>
                </c:pt>
                <c:pt idx="8">
                  <c:v>35.463999999999999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72-48E6-9437-4D6F21950599}"/>
            </c:ext>
          </c:extLst>
        </c:ser>
        <c:ser>
          <c:idx val="1"/>
          <c:order val="1"/>
          <c:tx>
            <c:strRef>
              <c:f>List1!$A$91</c:f>
              <c:strCache>
                <c:ptCount val="1"/>
                <c:pt idx="0">
                  <c:v>zřízeno na žádost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List1!$B$89:$J$89</c:f>
              <c:numCache>
                <c:formatCode>@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 formatCode="General">
                  <c:v>2016</c:v>
                </c:pt>
                <c:pt idx="8" formatCode="General">
                  <c:v>2017</c:v>
                </c:pt>
              </c:numCache>
            </c:numRef>
          </c:cat>
          <c:val>
            <c:numRef>
              <c:f>List1!$B$91:$J$91</c:f>
              <c:numCache>
                <c:formatCode>#,##0</c:formatCode>
                <c:ptCount val="9"/>
                <c:pt idx="0">
                  <c:v>18.303000000000001</c:v>
                </c:pt>
                <c:pt idx="1">
                  <c:v>13.798</c:v>
                </c:pt>
                <c:pt idx="2">
                  <c:v>7.1369999999999996</c:v>
                </c:pt>
                <c:pt idx="3">
                  <c:v>13.769</c:v>
                </c:pt>
                <c:pt idx="4">
                  <c:v>30.669</c:v>
                </c:pt>
                <c:pt idx="5">
                  <c:v>35.719000000000001</c:v>
                </c:pt>
                <c:pt idx="6">
                  <c:v>36.82</c:v>
                </c:pt>
                <c:pt idx="7">
                  <c:v>60.185000000000002</c:v>
                </c:pt>
                <c:pt idx="8">
                  <c:v>44.436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72-48E6-9437-4D6F219505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90700032"/>
        <c:axId val="190312384"/>
      </c:barChart>
      <c:catAx>
        <c:axId val="190700032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0312384"/>
        <c:crosses val="autoZero"/>
        <c:auto val="1"/>
        <c:lblAlgn val="ctr"/>
        <c:lblOffset val="100"/>
        <c:noMultiLvlLbl val="0"/>
      </c:catAx>
      <c:valAx>
        <c:axId val="190312384"/>
        <c:scaling>
          <c:orientation val="minMax"/>
          <c:max val="80"/>
          <c:min val="0"/>
        </c:scaling>
        <c:delete val="0"/>
        <c:axPos val="l"/>
        <c:numFmt formatCode="#,##0" sourceLinked="0"/>
        <c:majorTickMark val="none"/>
        <c:minorTickMark val="none"/>
        <c:tickLblPos val="none"/>
        <c:spPr>
          <a:ln w="3175">
            <a:solidFill>
              <a:srgbClr val="808080"/>
            </a:solidFill>
            <a:prstDash val="solid"/>
          </a:ln>
        </c:spPr>
        <c:crossAx val="190700032"/>
        <c:crosses val="autoZero"/>
        <c:crossBetween val="between"/>
        <c:majorUnit val="10"/>
        <c:minorUnit val="1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2417843137254903"/>
          <c:y val="0.18646825396825398"/>
          <c:w val="0.6532980392156863"/>
          <c:h val="0.11270555555555556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Graf E6 Nově zřízené datové schránky </a:t>
            </a:r>
            <a:r>
              <a:rPr lang="cs-CZ" sz="800" b="1"/>
              <a:t>v Česku </a:t>
            </a:r>
            <a:r>
              <a:rPr lang="en-US" sz="800" b="1"/>
              <a:t>podle typu subjektu, kterým byly zřízeny (v tis.)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1.2694444444444444E-2"/>
          <c:y val="0.14906388888888888"/>
          <c:w val="0.96885976842926924"/>
          <c:h val="0.655384523809523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List1!$A$111</c:f>
              <c:strCache>
                <c:ptCount val="1"/>
                <c:pt idx="0">
                  <c:v> Nepodnikající fyzické osoby - občané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List1!$F$110:$J$110</c:f>
              <c:numCache>
                <c:formatCode>@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 formatCode="General">
                  <c:v>2016</c:v>
                </c:pt>
                <c:pt idx="4" formatCode="General">
                  <c:v>2017</c:v>
                </c:pt>
              </c:numCache>
            </c:numRef>
          </c:cat>
          <c:val>
            <c:numRef>
              <c:f>List1!$F$111:$J$111</c:f>
              <c:numCache>
                <c:formatCode>#,##0.0</c:formatCode>
                <c:ptCount val="5"/>
                <c:pt idx="0">
                  <c:v>12.119</c:v>
                </c:pt>
                <c:pt idx="1">
                  <c:v>13.95</c:v>
                </c:pt>
                <c:pt idx="2">
                  <c:v>17.204999999999998</c:v>
                </c:pt>
                <c:pt idx="3">
                  <c:v>26.234000000000002</c:v>
                </c:pt>
                <c:pt idx="4">
                  <c:v>22.869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72-48E6-9437-4D6F21950599}"/>
            </c:ext>
          </c:extLst>
        </c:ser>
        <c:ser>
          <c:idx val="1"/>
          <c:order val="1"/>
          <c:tx>
            <c:strRef>
              <c:f>List1!$A$112</c:f>
              <c:strCache>
                <c:ptCount val="1"/>
                <c:pt idx="0">
                  <c:v> Podnikající fyzické osoby - OSVČ</c:v>
                </c:pt>
              </c:strCache>
            </c:strRef>
          </c:tx>
          <c:spPr>
            <a:solidFill>
              <a:srgbClr val="47E5FF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List1!$F$110:$J$110</c:f>
              <c:numCache>
                <c:formatCode>@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 formatCode="General">
                  <c:v>2016</c:v>
                </c:pt>
                <c:pt idx="4" formatCode="General">
                  <c:v>2017</c:v>
                </c:pt>
              </c:numCache>
            </c:numRef>
          </c:cat>
          <c:val>
            <c:numRef>
              <c:f>List1!$F$112:$J$112</c:f>
              <c:numCache>
                <c:formatCode>#,##0.0</c:formatCode>
                <c:ptCount val="5"/>
                <c:pt idx="0">
                  <c:v>17.684999999999999</c:v>
                </c:pt>
                <c:pt idx="1">
                  <c:v>20.126000000000001</c:v>
                </c:pt>
                <c:pt idx="2">
                  <c:v>17.663</c:v>
                </c:pt>
                <c:pt idx="3">
                  <c:v>34.683999999999997</c:v>
                </c:pt>
                <c:pt idx="4">
                  <c:v>20.018000000000001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72-48E6-9437-4D6F21950599}"/>
            </c:ext>
          </c:extLst>
        </c:ser>
        <c:ser>
          <c:idx val="2"/>
          <c:order val="2"/>
          <c:tx>
            <c:strRef>
              <c:f>List1!$A$113</c:f>
              <c:strCache>
                <c:ptCount val="1"/>
                <c:pt idx="0">
                  <c:v> Právnické osoby</c:v>
                </c:pt>
              </c:strCache>
            </c:strRef>
          </c:tx>
          <c:spPr>
            <a:solidFill>
              <a:srgbClr val="ABF3FF"/>
            </a:solidFill>
            <a:ln w="2540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List1!$F$110:$J$110</c:f>
              <c:numCache>
                <c:formatCode>@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 formatCode="General">
                  <c:v>2016</c:v>
                </c:pt>
                <c:pt idx="4" formatCode="General">
                  <c:v>2017</c:v>
                </c:pt>
              </c:numCache>
            </c:numRef>
          </c:cat>
          <c:val>
            <c:numRef>
              <c:f>List1!$F$113:$J$113</c:f>
              <c:numCache>
                <c:formatCode>#,##0.0</c:formatCode>
                <c:ptCount val="5"/>
                <c:pt idx="0">
                  <c:v>26.038</c:v>
                </c:pt>
                <c:pt idx="1">
                  <c:v>32.546999999999997</c:v>
                </c:pt>
                <c:pt idx="2">
                  <c:v>30.408999999999999</c:v>
                </c:pt>
                <c:pt idx="3">
                  <c:v>29.501000000000001</c:v>
                </c:pt>
                <c:pt idx="4">
                  <c:v>36.368000000000002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72-48E6-9437-4D6F219505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96562944"/>
        <c:axId val="190313536"/>
      </c:barChart>
      <c:catAx>
        <c:axId val="196562944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90313536"/>
        <c:crosses val="autoZero"/>
        <c:auto val="1"/>
        <c:lblAlgn val="ctr"/>
        <c:lblOffset val="100"/>
        <c:noMultiLvlLbl val="0"/>
      </c:catAx>
      <c:valAx>
        <c:axId val="190313536"/>
        <c:scaling>
          <c:orientation val="minMax"/>
          <c:max val="60"/>
          <c:min val="0"/>
        </c:scaling>
        <c:delete val="0"/>
        <c:axPos val="l"/>
        <c:numFmt formatCode="#,##0" sourceLinked="0"/>
        <c:majorTickMark val="none"/>
        <c:minorTickMark val="none"/>
        <c:tickLblPos val="none"/>
        <c:spPr>
          <a:ln w="3175">
            <a:solidFill>
              <a:srgbClr val="808080"/>
            </a:solidFill>
            <a:prstDash val="solid"/>
          </a:ln>
        </c:spPr>
        <c:crossAx val="196562944"/>
        <c:crosses val="autoZero"/>
        <c:crossBetween val="between"/>
        <c:majorUnit val="1"/>
        <c:minorUnit val="0.1"/>
      </c:valAx>
      <c:spPr>
        <a:noFill/>
        <a:ln w="12700">
          <a:solidFill>
            <a:srgbClr val="A6A6A6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3.2871241830065359E-2"/>
          <c:y val="0.1763888888888889"/>
          <c:w val="0.61573006535947716"/>
          <c:h val="0.21689166666666668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en-US" sz="800" b="1"/>
              <a:t>201</a:t>
            </a:r>
            <a:r>
              <a:rPr lang="cs-CZ" sz="800" b="1"/>
              <a:t>7</a:t>
            </a:r>
            <a:endParaRPr lang="en-US" sz="800" b="1"/>
          </a:p>
        </c:rich>
      </c:tx>
      <c:layout>
        <c:manualLayout>
          <c:xMode val="edge"/>
          <c:yMode val="edge"/>
          <c:x val="0.11639545056867889"/>
          <c:y val="0.1408230111586928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467949056703481"/>
          <c:y val="0.13672816445389582"/>
          <c:w val="0.70739792051664041"/>
          <c:h val="0.8231528668945326"/>
        </c:manualLayout>
      </c:layout>
      <c:doughnutChart>
        <c:varyColors val="1"/>
        <c:ser>
          <c:idx val="0"/>
          <c:order val="0"/>
          <c:tx>
            <c:strRef>
              <c:f>[1]E4!$I$25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0080"/>
            </a:solidFill>
            <a:ln w="12700">
              <a:noFill/>
              <a:prstDash val="solid"/>
            </a:ln>
          </c:spPr>
          <c:dPt>
            <c:idx val="0"/>
            <c:bubble3D val="0"/>
            <c:spPr>
              <a:solidFill>
                <a:srgbClr val="009BB4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D8C-4554-93E9-73D2E1175688}"/>
              </c:ext>
            </c:extLst>
          </c:dPt>
          <c:dPt>
            <c:idx val="1"/>
            <c:bubble3D val="0"/>
            <c:spPr>
              <a:solidFill>
                <a:srgbClr val="47E5FF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D8C-4554-93E9-73D2E1175688}"/>
              </c:ext>
            </c:extLst>
          </c:dPt>
          <c:dPt>
            <c:idx val="2"/>
            <c:bubble3D val="0"/>
            <c:spPr>
              <a:solidFill>
                <a:srgbClr val="ABF3FF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D8C-4554-93E9-73D2E1175688}"/>
              </c:ext>
            </c:extLst>
          </c:dPt>
          <c:dPt>
            <c:idx val="3"/>
            <c:bubble3D val="0"/>
            <c:spPr>
              <a:solidFill>
                <a:schemeClr val="tx1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D8C-4554-93E9-73D2E1175688}"/>
              </c:ext>
            </c:extLst>
          </c:dPt>
          <c:dPt>
            <c:idx val="4"/>
            <c:bubble3D val="0"/>
            <c:spPr>
              <a:solidFill>
                <a:srgbClr val="ABF3FF"/>
              </a:solidFill>
              <a:ln w="1270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D8C-4554-93E9-73D2E1175688}"/>
              </c:ext>
            </c:extLst>
          </c:dPt>
          <c:dLbls>
            <c:dLbl>
              <c:idx val="0"/>
              <c:layout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D8C-4554-93E9-73D2E1175688}"/>
                </c:ext>
              </c:extLst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D8C-4554-93E9-73D2E1175688}"/>
                </c:ext>
              </c:extLst>
            </c:dLbl>
            <c:dLbl>
              <c:idx val="2"/>
              <c:layout>
                <c:manualLayout>
                  <c:x val="-1.0630221468527452E-2"/>
                  <c:y val="-1.078997025536550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D8C-4554-93E9-73D2E1175688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8C-4554-93E9-73D2E117568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068
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D8C-4554-93E9-73D2E11756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[1]E4!$G$26:$G$29</c:f>
              <c:strCache>
                <c:ptCount val="4"/>
                <c:pt idx="0">
                  <c:v> Orgán veřejné moci </c:v>
                </c:pt>
                <c:pt idx="1">
                  <c:v> Právnická osoba</c:v>
                </c:pt>
                <c:pt idx="2">
                  <c:v> Podnikající fyzická osoba (OSVČ)</c:v>
                </c:pt>
                <c:pt idx="3">
                  <c:v> Nepodnikající fyzická osoba</c:v>
                </c:pt>
              </c:strCache>
            </c:strRef>
          </c:cat>
          <c:val>
            <c:numRef>
              <c:f>[1]E4!$I$26:$I$29</c:f>
              <c:numCache>
                <c:formatCode>#,##0.0</c:formatCode>
                <c:ptCount val="4"/>
                <c:pt idx="0">
                  <c:v>71.494517000000016</c:v>
                </c:pt>
                <c:pt idx="1">
                  <c:v>26.654362000000006</c:v>
                </c:pt>
                <c:pt idx="2">
                  <c:v>4.1513590000000002</c:v>
                </c:pt>
                <c:pt idx="3">
                  <c:v>0.53007799999999983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D8C-4554-93E9-73D2E11756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391298309933484E-2"/>
          <c:y val="0.2242245046990094"/>
          <c:w val="0.37490037682492017"/>
          <c:h val="0.53561245872491747"/>
        </c:manualLayout>
      </c:layout>
      <c:doughnutChart>
        <c:varyColors val="1"/>
        <c:ser>
          <c:idx val="0"/>
          <c:order val="0"/>
          <c:tx>
            <c:strRef>
              <c:f>List1!$B$133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009BB4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D5D-41B4-BF77-E359A7CB75F1}"/>
              </c:ext>
            </c:extLst>
          </c:dPt>
          <c:dPt>
            <c:idx val="1"/>
            <c:bubble3D val="0"/>
            <c:spPr>
              <a:solidFill>
                <a:srgbClr val="47E5FF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D5D-41B4-BF77-E359A7CB75F1}"/>
              </c:ext>
            </c:extLst>
          </c:dPt>
          <c:dPt>
            <c:idx val="2"/>
            <c:bubble3D val="0"/>
            <c:spPr>
              <a:solidFill>
                <a:srgbClr val="ABF3FF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D5D-41B4-BF77-E359A7CB75F1}"/>
              </c:ext>
            </c:extLst>
          </c:dPt>
          <c:dPt>
            <c:idx val="3"/>
            <c:bubble3D val="0"/>
            <c:spPr>
              <a:solidFill>
                <a:schemeClr val="tx1"/>
              </a:solidFill>
              <a:ln w="2540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D5D-41B4-BF77-E359A7CB75F1}"/>
              </c:ext>
            </c:extLst>
          </c:dPt>
          <c:dPt>
            <c:idx val="4"/>
            <c:bubble3D val="0"/>
            <c:spPr>
              <a:solidFill>
                <a:srgbClr val="ABF3FF"/>
              </a:solidFill>
              <a:ln w="1270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D5D-41B4-BF77-E359A7CB75F1}"/>
              </c:ext>
            </c:extLst>
          </c:dPt>
          <c:dLbls>
            <c:dLbl>
              <c:idx val="0"/>
              <c:layout/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List1!$A$134:$A$137</c:f>
              <c:strCache>
                <c:ptCount val="4"/>
                <c:pt idx="0">
                  <c:v> Orgán veřejné moci </c:v>
                </c:pt>
                <c:pt idx="1">
                  <c:v> Právnická osoba - podniky</c:v>
                </c:pt>
                <c:pt idx="2">
                  <c:v> Podnik. fyzická osoba - OSVČ</c:v>
                </c:pt>
                <c:pt idx="3">
                  <c:v> Nepodnik. fyz. osoba - občané</c:v>
                </c:pt>
              </c:strCache>
            </c:strRef>
          </c:cat>
          <c:val>
            <c:numRef>
              <c:f>List1!$B$134:$B$137</c:f>
              <c:numCache>
                <c:formatCode>#,##0.0</c:formatCode>
                <c:ptCount val="4"/>
                <c:pt idx="0">
                  <c:v>40.091678999999999</c:v>
                </c:pt>
                <c:pt idx="1">
                  <c:v>4.6499489999999994</c:v>
                </c:pt>
                <c:pt idx="2">
                  <c:v>0.62139800000000001</c:v>
                </c:pt>
                <c:pt idx="3">
                  <c:v>6.2015000000000001E-2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D5D-41B4-BF77-E359A7CB75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2.2347123736604746E-2"/>
          <c:y val="0.77847095528153321"/>
          <c:w val="0.93609478808705626"/>
          <c:h val="0.13489902441440102"/>
        </c:manualLayout>
      </c:layout>
      <c:overlay val="0"/>
      <c:spPr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/>
            </a:pPr>
            <a:r>
              <a:rPr lang="cs-CZ" sz="800" b="1"/>
              <a:t>Graf E8 Transakce provedené prostřednictvím datových schránek </a:t>
            </a:r>
          </a:p>
          <a:p>
            <a:pPr>
              <a:defRPr sz="800" b="1"/>
            </a:pPr>
            <a:r>
              <a:rPr lang="cs-CZ" sz="800" b="1"/>
              <a:t>v Česku patřícím nepodnikajícím fyzickým osobám  –</a:t>
            </a:r>
            <a:r>
              <a:rPr lang="cs-CZ" sz="800" b="1" baseline="0"/>
              <a:t> </a:t>
            </a:r>
            <a:r>
              <a:rPr lang="cs-CZ" sz="800" b="1"/>
              <a:t>občanům (v tis.)</a:t>
            </a:r>
            <a:endParaRPr lang="en-US" sz="800" b="1"/>
          </a:p>
        </c:rich>
      </c:tx>
      <c:layout>
        <c:manualLayout>
          <c:xMode val="edge"/>
          <c:yMode val="edge"/>
          <c:x val="0.14081045751633986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6302083333333334"/>
          <c:y val="0.26231111111111111"/>
          <c:w val="0.79678839940588297"/>
          <c:h val="0.621316269841269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List1!$A$155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dLbl>
              <c:idx val="0"/>
              <c:layout/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pPr/>
              <c:txPr>
                <a:bodyPr/>
                <a:lstStyle/>
                <a:p>
                  <a:pPr>
                    <a:defRPr sz="800" b="1"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List1!$B$154:$I$154</c:f>
              <c:numCache>
                <c:formatCode>General</c:formatCode>
                <c:ptCount val="8"/>
                <c:pt idx="0" formatCode="@">
                  <c:v>2010</c:v>
                </c:pt>
                <c:pt idx="1">
                  <c:v>2011</c:v>
                </c:pt>
                <c:pt idx="2" formatCode="@">
                  <c:v>2012</c:v>
                </c:pt>
                <c:pt idx="3">
                  <c:v>2013</c:v>
                </c:pt>
                <c:pt idx="4" formatCode="@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List1!$B$155:$I$155</c:f>
              <c:numCache>
                <c:formatCode>#,##0.0</c:formatCode>
                <c:ptCount val="8"/>
                <c:pt idx="0">
                  <c:v>29.756</c:v>
                </c:pt>
                <c:pt idx="1">
                  <c:v>43.143999999999998</c:v>
                </c:pt>
                <c:pt idx="2">
                  <c:v>62.015000000000001</c:v>
                </c:pt>
                <c:pt idx="3">
                  <c:v>94.242999999999995</c:v>
                </c:pt>
                <c:pt idx="4">
                  <c:v>221.369</c:v>
                </c:pt>
                <c:pt idx="5">
                  <c:v>310.90199999999999</c:v>
                </c:pt>
                <c:pt idx="6">
                  <c:v>429.16399999999999</c:v>
                </c:pt>
                <c:pt idx="7">
                  <c:v>530.07799999999997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96858368"/>
        <c:axId val="195356352"/>
      </c:barChart>
      <c:catAx>
        <c:axId val="196858368"/>
        <c:scaling>
          <c:orientation val="minMax"/>
        </c:scaling>
        <c:delete val="0"/>
        <c:axPos val="l"/>
        <c:numFmt formatCode="@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95356352"/>
        <c:crosses val="autoZero"/>
        <c:auto val="1"/>
        <c:lblAlgn val="ctr"/>
        <c:lblOffset val="100"/>
        <c:noMultiLvlLbl val="0"/>
      </c:catAx>
      <c:valAx>
        <c:axId val="195356352"/>
        <c:scaling>
          <c:orientation val="minMax"/>
          <c:max val="550"/>
        </c:scaling>
        <c:delete val="0"/>
        <c:axPos val="b"/>
        <c:numFmt formatCode="#,##0.0" sourceLinked="1"/>
        <c:majorTickMark val="none"/>
        <c:minorTickMark val="none"/>
        <c:tickLblPos val="none"/>
        <c:crossAx val="196858368"/>
        <c:crosses val="autoZero"/>
        <c:crossBetween val="between"/>
        <c:majorUnit val="50"/>
        <c:minorUnit val="10"/>
      </c:valAx>
      <c:spPr>
        <a:ln w="12700"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0.03839</cdr:x>
      <cdr:y>0.89795</cdr:y>
    </cdr:from>
    <cdr:to>
      <cdr:x>0.97535</cdr:x>
      <cdr:y>0.96762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7475" y="2262843"/>
          <a:ext cx="2867085" cy="175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36000" tIns="18000" rIns="36000" bIns="18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 podle údajů Ministerstva vnitra ČR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0.14457</cdr:x>
      <cdr:y>0.93633</cdr:y>
    </cdr:from>
    <cdr:to>
      <cdr:x>0.94076</cdr:x>
      <cdr:y>0.98619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42383" y="2696633"/>
          <a:ext cx="2436336" cy="1435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36000" tIns="18000" rIns="36000" bIns="18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 podle údajů GFŘ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0.14457</cdr:x>
      <cdr:y>0.93633</cdr:y>
    </cdr:from>
    <cdr:to>
      <cdr:x>0.94076</cdr:x>
      <cdr:y>0.98619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42383" y="2696633"/>
          <a:ext cx="2436336" cy="1435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36000" tIns="18000" rIns="36000" bIns="18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 podle údajů GFŘ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</cdr:x>
      <cdr:y>0.86019</cdr:y>
    </cdr:from>
    <cdr:to>
      <cdr:x>0.98534</cdr:x>
      <cdr:y>0.9181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3096666"/>
          <a:ext cx="2979668" cy="2085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na celkovém počtu jednotlivců </a:t>
          </a:r>
          <a:r>
            <a:rPr lang="cs-CZ" sz="800" baseline="0">
              <a:latin typeface="Arial" panose="020B0604020202020204" pitchFamily="34" charset="0"/>
              <a:cs typeface="Arial" panose="020B0604020202020204" pitchFamily="34" charset="0"/>
            </a:rPr>
            <a:t>v dané skupině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0.04359</cdr:x>
      <cdr:y>0.91487</cdr:y>
    </cdr:from>
    <cdr:to>
      <cdr:x>0.9917</cdr:x>
      <cdr:y>0.9913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36525" y="2470150"/>
          <a:ext cx="2969467" cy="2063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</cdr:x>
      <cdr:y>0.86019</cdr:y>
    </cdr:from>
    <cdr:to>
      <cdr:x>0.98534</cdr:x>
      <cdr:y>0.9181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3096666"/>
          <a:ext cx="2979668" cy="2085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na celkovém počtu jednotlivců 16+</a:t>
          </a:r>
        </a:p>
      </cdr:txBody>
    </cdr:sp>
  </cdr:relSizeAnchor>
  <cdr:relSizeAnchor xmlns:cdr="http://schemas.openxmlformats.org/drawingml/2006/chartDrawing">
    <cdr:from>
      <cdr:x>0.04359</cdr:x>
      <cdr:y>0.91487</cdr:y>
    </cdr:from>
    <cdr:to>
      <cdr:x>0.9917</cdr:x>
      <cdr:y>0.9913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36525" y="2470150"/>
          <a:ext cx="2969467" cy="2063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2018, </a:t>
          </a:r>
          <a:r>
            <a:rPr lang="cs-CZ" sz="80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Šetření o využívání ICT v domácnostech 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0.23732</cdr:x>
      <cdr:y>0.91509</cdr:y>
    </cdr:from>
    <cdr:to>
      <cdr:x>0.96898</cdr:x>
      <cdr:y>0.98227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409700" y="2635461"/>
          <a:ext cx="4346025" cy="193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Eurostat 2018</a:t>
          </a:r>
        </a:p>
      </cdr:txBody>
    </cdr:sp>
  </cdr:relSizeAnchor>
  <cdr:relSizeAnchor xmlns:cdr="http://schemas.openxmlformats.org/drawingml/2006/chartDrawing">
    <cdr:from>
      <cdr:x>0.02043</cdr:x>
      <cdr:y>0.89762</cdr:y>
    </cdr:from>
    <cdr:to>
      <cdr:x>0.59707</cdr:x>
      <cdr:y>0.973</cdr:y>
    </cdr:to>
    <cdr:sp macro="" textlink="">
      <cdr:nvSpPr>
        <cdr:cNvPr id="4" name="TextovéPole 1"/>
        <cdr:cNvSpPr txBox="1"/>
      </cdr:nvSpPr>
      <cdr:spPr>
        <a:xfrm xmlns:a="http://schemas.openxmlformats.org/drawingml/2006/main">
          <a:off x="127107" y="2908289"/>
          <a:ext cx="3587643" cy="2442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* podíl na celkovém počtu jednotlivců ve věku 16 až 74 let v dané zemi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0.99989</cdr:x>
      <cdr:y>0.147</cdr:y>
    </cdr:to>
    <cdr:sp macro="" textlink="">
      <cdr:nvSpPr>
        <cdr:cNvPr id="3" name="Textové pole 2"/>
        <cdr:cNvSpPr txBox="1"/>
      </cdr:nvSpPr>
      <cdr:spPr>
        <a:xfrm xmlns:a="http://schemas.openxmlformats.org/drawingml/2006/main">
          <a:off x="0" y="0"/>
          <a:ext cx="5972175" cy="4571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Graf </a:t>
          </a: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 E13</a:t>
          </a:r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 Jednotlivci v zemích EU </a:t>
          </a: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ve věku</a:t>
          </a:r>
          <a:r>
            <a:rPr lang="cs-CZ" sz="800" b="1" baseline="0">
              <a:latin typeface="Arial" panose="020B0604020202020204" pitchFamily="34" charset="0"/>
              <a:cs typeface="Arial" panose="020B0604020202020204" pitchFamily="34" charset="0"/>
            </a:rPr>
            <a:t> 16 až 74 let </a:t>
          </a:r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používající internet </a:t>
          </a: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 při jednání s veřejnou správou</a:t>
          </a:r>
          <a:r>
            <a:rPr lang="cs-CZ" sz="800" b="1" baseline="0">
              <a:latin typeface="Arial" panose="020B0604020202020204" pitchFamily="34" charset="0"/>
              <a:cs typeface="Arial" panose="020B0604020202020204" pitchFamily="34" charset="0"/>
            </a:rPr>
            <a:t> v roce 2017 </a:t>
          </a:r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(%)</a:t>
          </a: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*</a:t>
          </a:r>
          <a:endParaRPr lang="en-US" sz="800" b="1"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endParaRPr lang="cs-CZ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0.03839</cdr:x>
      <cdr:y>0.89795</cdr:y>
    </cdr:from>
    <cdr:to>
      <cdr:x>0.97535</cdr:x>
      <cdr:y>0.96762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7475" y="2262843"/>
          <a:ext cx="2867085" cy="175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36000" tIns="18000" rIns="36000" bIns="18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 podle údajů Ministerstva vnitra ČR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0.03839</cdr:x>
      <cdr:y>0.89795</cdr:y>
    </cdr:from>
    <cdr:to>
      <cdr:x>0.97535</cdr:x>
      <cdr:y>0.96762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7475" y="2262843"/>
          <a:ext cx="2867085" cy="175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36000" tIns="18000" rIns="36000" bIns="18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 podle údajů Ministerstva vnitra ČR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0.03839</cdr:x>
      <cdr:y>0.89795</cdr:y>
    </cdr:from>
    <cdr:to>
      <cdr:x>0.97535</cdr:x>
      <cdr:y>0.96762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7475" y="2262843"/>
          <a:ext cx="2867085" cy="175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36000" tIns="18000" rIns="36000" bIns="18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 podle údajů Ministerstva vnitra ČR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0.03839</cdr:x>
      <cdr:y>0.89795</cdr:y>
    </cdr:from>
    <cdr:to>
      <cdr:x>0.97535</cdr:x>
      <cdr:y>0.96762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7475" y="2262843"/>
          <a:ext cx="2867085" cy="175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36000" tIns="18000" rIns="36000" bIns="18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 podle údajů Ministerstva vnitra ČR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0.18521</cdr:y>
    </cdr:from>
    <cdr:to>
      <cdr:x>0.09027</cdr:x>
      <cdr:y>0.32506</cdr:y>
    </cdr:to>
    <cdr:sp macro="" textlink="">
      <cdr:nvSpPr>
        <cdr:cNvPr id="2" name="TextovéPole 1"/>
        <cdr:cNvSpPr txBox="1"/>
      </cdr:nvSpPr>
      <cdr:spPr>
        <a:xfrm xmlns:a="http://schemas.openxmlformats.org/drawingml/2006/main" rot="16200000">
          <a:off x="-38100" y="504825"/>
          <a:ext cx="352428" cy="2762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 b="1">
              <a:solidFill>
                <a:schemeClr val="bg1"/>
              </a:solidFill>
            </a:rPr>
            <a:t>//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0.03839</cdr:x>
      <cdr:y>0.89795</cdr:y>
    </cdr:from>
    <cdr:to>
      <cdr:x>0.97535</cdr:x>
      <cdr:y>0.96762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7475" y="2262843"/>
          <a:ext cx="2867085" cy="175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36000" tIns="18000" rIns="36000" bIns="18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 podle údajů Ministerstva vnitra ČR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0.2952</cdr:x>
      <cdr:y>0.41884</cdr:y>
    </cdr:from>
    <cdr:to>
      <cdr:x>0.71885</cdr:x>
      <cdr:y>0.69572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:a16="http://schemas.microsoft.com/office/drawing/2014/main" xmlns="" id="{00000000-0008-0000-0A00-000008000000}"/>
            </a:ext>
          </a:extLst>
        </cdr:cNvPr>
        <cdr:cNvSpPr txBox="1"/>
      </cdr:nvSpPr>
      <cdr:spPr>
        <a:xfrm xmlns:a="http://schemas.openxmlformats.org/drawingml/2006/main">
          <a:off x="531425" y="682200"/>
          <a:ext cx="762665" cy="45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102,8 mil.  transakcí celkem</a:t>
          </a:r>
          <a:endParaRPr lang="en-US" sz="8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0.04972</cdr:x>
      <cdr:y>0.02264</cdr:y>
    </cdr:from>
    <cdr:to>
      <cdr:x>0.95856</cdr:x>
      <cdr:y>0.19245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171450" y="57150"/>
          <a:ext cx="313372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Graf E</a:t>
          </a: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7</a:t>
          </a:r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 Transakce provedené prostřednictvím datových schránek </a:t>
          </a:r>
          <a:r>
            <a:rPr lang="cs-CZ" sz="800" b="1">
              <a:latin typeface="Arial" panose="020B0604020202020204" pitchFamily="34" charset="0"/>
              <a:cs typeface="Arial" panose="020B0604020202020204" pitchFamily="34" charset="0"/>
            </a:rPr>
            <a:t>v Česku </a:t>
          </a:r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podle jejich vlastníků (v mil.; %)</a:t>
          </a:r>
        </a:p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0.30939</cdr:x>
      <cdr:y>0.93585</cdr:y>
    </cdr:from>
    <cdr:to>
      <cdr:x>0.96133</cdr:x>
      <cdr:y>1</cdr:y>
    </cdr:to>
    <cdr:sp macro="" textlink="">
      <cdr:nvSpPr>
        <cdr:cNvPr id="4" name="Textové pole 3"/>
        <cdr:cNvSpPr txBox="1"/>
      </cdr:nvSpPr>
      <cdr:spPr>
        <a:xfrm xmlns:a="http://schemas.openxmlformats.org/drawingml/2006/main">
          <a:off x="1066800" y="2362200"/>
          <a:ext cx="2247900" cy="161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</cdr:x>
      <cdr:y>0.91321</cdr:y>
    </cdr:from>
    <cdr:to>
      <cdr:x>0.98619</cdr:x>
      <cdr:y>1</cdr:y>
    </cdr:to>
    <cdr:sp macro="" textlink="">
      <cdr:nvSpPr>
        <cdr:cNvPr id="5" name="Textové pole 4"/>
        <cdr:cNvSpPr txBox="1"/>
      </cdr:nvSpPr>
      <cdr:spPr>
        <a:xfrm xmlns:a="http://schemas.openxmlformats.org/drawingml/2006/main" rot="10800000" flipV="1">
          <a:off x="-1" y="2305050"/>
          <a:ext cx="34004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cs-CZ" sz="800" i="1">
              <a:latin typeface="Arial" panose="020B0604020202020204" pitchFamily="34" charset="0"/>
              <a:cs typeface="Arial" panose="020B0604020202020204" pitchFamily="34" charset="0"/>
            </a:rPr>
            <a:t>Zdroj: ČSÚ podle údajů Ministerstva vnitra ČR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</cdr:x>
      <cdr:y>0.9182</cdr:y>
    </cdr:from>
    <cdr:to>
      <cdr:x>0.99326</cdr:x>
      <cdr:y>0.98113</cdr:y>
    </cdr:to>
    <cdr:sp macro="" textlink="">
      <cdr:nvSpPr>
        <cdr:cNvPr id="5" name="TextovéPole 1"/>
        <cdr:cNvSpPr txBox="1"/>
      </cdr:nvSpPr>
      <cdr:spPr>
        <a:xfrm xmlns:a="http://schemas.openxmlformats.org/drawingml/2006/main">
          <a:off x="0" y="2317652"/>
          <a:ext cx="2412504" cy="1588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36000" tIns="18000" rIns="36000" bIns="1800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800" i="1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Zdroj: ČSÚ 2018 podle údajů Ministerstva vnitra ČR</a:t>
          </a:r>
          <a:endParaRPr lang="cs-CZ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5303-5ADA-4D63-99F1-1C77ECB4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0</TotalTime>
  <Pages>7</Pages>
  <Words>2650</Words>
  <Characters>15639</Characters>
  <Application>Microsoft Office Word</Application>
  <DocSecurity>0</DocSecurity>
  <Lines>130</Lines>
  <Paragraphs>36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18253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Kotrbatá</dc:creator>
  <cp:lastModifiedBy>Alena Kotrbatá</cp:lastModifiedBy>
  <cp:revision>2</cp:revision>
  <cp:lastPrinted>2018-08-29T08:06:00Z</cp:lastPrinted>
  <dcterms:created xsi:type="dcterms:W3CDTF">2018-09-21T13:55:00Z</dcterms:created>
  <dcterms:modified xsi:type="dcterms:W3CDTF">2018-09-21T13:55:00Z</dcterms:modified>
</cp:coreProperties>
</file>