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DF" w:rsidRPr="00E7431B" w:rsidRDefault="00951BDF" w:rsidP="00AE6F89">
      <w:pPr>
        <w:jc w:val="center"/>
        <w:rPr>
          <w:rFonts w:ascii="Arial" w:hAnsi="Arial" w:cs="Arial"/>
          <w:bCs/>
          <w:i/>
          <w:iCs/>
          <w:szCs w:val="24"/>
          <w:lang w:val="en-GB"/>
        </w:rPr>
      </w:pPr>
      <w:r w:rsidRPr="00F4624C">
        <w:rPr>
          <w:rFonts w:ascii="Arial" w:hAnsi="Arial" w:cs="Arial"/>
          <w:b/>
          <w:bCs/>
          <w:i/>
          <w:iCs/>
          <w:szCs w:val="24"/>
          <w:lang w:val="en-GB"/>
        </w:rPr>
        <w:t>28. INTERNATIONAL COMPARISONS</w:t>
      </w:r>
    </w:p>
    <w:p w:rsidR="00951BDF" w:rsidRPr="00F4624C" w:rsidRDefault="00951BDF" w:rsidP="00E700B9">
      <w:pPr>
        <w:rPr>
          <w:rFonts w:ascii="Arial" w:hAnsi="Arial" w:cs="Arial"/>
          <w:i/>
          <w:iCs/>
          <w:sz w:val="20"/>
          <w:szCs w:val="20"/>
          <w:lang w:val="en-GB"/>
        </w:rPr>
      </w:pPr>
    </w:p>
    <w:p w:rsidR="001A65CC" w:rsidRPr="00F4624C" w:rsidRDefault="00CC0079" w:rsidP="003408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firstLine="709"/>
        <w:jc w:val="both"/>
        <w:rPr>
          <w:rFonts w:ascii="Arial" w:hAnsi="Arial" w:cs="Arial"/>
          <w:i/>
          <w:sz w:val="20"/>
          <w:szCs w:val="20"/>
          <w:lang w:val="en-GB"/>
        </w:rPr>
      </w:pPr>
      <w:r w:rsidRPr="00F4624C">
        <w:rPr>
          <w:rFonts w:ascii="Arial" w:hAnsi="Arial" w:cs="Arial"/>
          <w:i/>
          <w:sz w:val="20"/>
          <w:szCs w:val="20"/>
          <w:lang w:val="en-GB"/>
        </w:rPr>
        <w:t>The chapter contains selected statistical indicators, which provide an instrument for comparisons among economies of countries of the European Union and some other countries. These indicators are compiled by Eurostat from data transmitted regularly by national statistical institutions, some data are provided by international organisations (e.g. the OECD, the European Central Bank).</w:t>
      </w:r>
    </w:p>
    <w:p w:rsidR="00AD4024" w:rsidRPr="00F4624C" w:rsidRDefault="00CC0079" w:rsidP="00D33AAD">
      <w:pPr>
        <w:pStyle w:val="Zkladntext3"/>
        <w:tabs>
          <w:tab w:val="clear" w:pos="709"/>
          <w:tab w:val="clear" w:pos="1418"/>
        </w:tabs>
        <w:ind w:firstLine="709"/>
        <w:rPr>
          <w:szCs w:val="20"/>
        </w:rPr>
      </w:pPr>
      <w:r w:rsidRPr="00F4624C">
        <w:rPr>
          <w:szCs w:val="20"/>
        </w:rPr>
        <w:t>The countries indicators of which are compared in the tables are listed alphabetically by their names in Czech. A</w:t>
      </w:r>
      <w:r w:rsidR="00775F6C" w:rsidRPr="00F4624C">
        <w:rPr>
          <w:szCs w:val="20"/>
        </w:rPr>
        <w:t> </w:t>
      </w:r>
      <w:r w:rsidRPr="00F4624C">
        <w:rPr>
          <w:szCs w:val="20"/>
        </w:rPr>
        <w:t xml:space="preserve">Czech-English list of names of the countries is given in the end of the methodological </w:t>
      </w:r>
      <w:r w:rsidR="00D523F7" w:rsidRPr="00F4624C">
        <w:rPr>
          <w:szCs w:val="20"/>
        </w:rPr>
        <w:t xml:space="preserve">notes </w:t>
      </w:r>
      <w:r w:rsidRPr="00F4624C">
        <w:rPr>
          <w:szCs w:val="20"/>
        </w:rPr>
        <w:t>to the chapter. Data for the European Union and</w:t>
      </w:r>
      <w:r w:rsidR="008208E4" w:rsidRPr="00F4624C">
        <w:rPr>
          <w:szCs w:val="20"/>
        </w:rPr>
        <w:t xml:space="preserve"> the Eurozone are, provided that they were available, in the beginning of the tables above individual countries. </w:t>
      </w:r>
    </w:p>
    <w:p w:rsidR="009962D2" w:rsidRPr="00F4624C" w:rsidRDefault="008208E4">
      <w:pPr>
        <w:spacing w:before="120"/>
        <w:ind w:firstLine="709"/>
        <w:jc w:val="both"/>
        <w:rPr>
          <w:rFonts w:ascii="Arial" w:hAnsi="Arial" w:cs="Arial"/>
          <w:bCs/>
          <w:i/>
          <w:sz w:val="20"/>
          <w:szCs w:val="20"/>
          <w:lang w:val="en-GB"/>
        </w:rPr>
      </w:pPr>
      <w:r w:rsidRPr="00F4624C">
        <w:rPr>
          <w:rFonts w:ascii="Arial" w:hAnsi="Arial" w:cs="Arial"/>
          <w:bCs/>
          <w:i/>
          <w:sz w:val="20"/>
          <w:szCs w:val="20"/>
          <w:lang w:val="en-GB"/>
        </w:rPr>
        <w:t>The </w:t>
      </w:r>
      <w:r w:rsidRPr="00F4624C">
        <w:rPr>
          <w:rFonts w:ascii="Arial" w:hAnsi="Arial" w:cs="Arial"/>
          <w:b/>
          <w:bCs/>
          <w:i/>
          <w:sz w:val="20"/>
          <w:szCs w:val="20"/>
          <w:lang w:val="en-GB"/>
        </w:rPr>
        <w:t>European Union (EU28)</w:t>
      </w:r>
      <w:r w:rsidRPr="00F4624C">
        <w:rPr>
          <w:rFonts w:ascii="Arial" w:hAnsi="Arial" w:cs="Arial"/>
          <w:bCs/>
          <w:i/>
          <w:sz w:val="20"/>
          <w:szCs w:val="20"/>
          <w:lang w:val="en-GB"/>
        </w:rPr>
        <w:t xml:space="preserve"> is an econom</w:t>
      </w:r>
      <w:r w:rsidR="00B76D26">
        <w:rPr>
          <w:rFonts w:ascii="Arial" w:hAnsi="Arial" w:cs="Arial"/>
          <w:bCs/>
          <w:i/>
          <w:sz w:val="20"/>
          <w:szCs w:val="20"/>
          <w:lang w:val="en-GB"/>
        </w:rPr>
        <w:t>ic and political grouping of 28 </w:t>
      </w:r>
      <w:r w:rsidRPr="00F4624C">
        <w:rPr>
          <w:rFonts w:ascii="Arial" w:hAnsi="Arial" w:cs="Arial"/>
          <w:bCs/>
          <w:i/>
          <w:sz w:val="20"/>
          <w:szCs w:val="20"/>
          <w:lang w:val="en-GB"/>
        </w:rPr>
        <w:t>countries of Europe. The table below briefly summar</w:t>
      </w:r>
      <w:r w:rsidR="00CF085D">
        <w:rPr>
          <w:rFonts w:ascii="Arial" w:hAnsi="Arial" w:cs="Arial"/>
          <w:bCs/>
          <w:i/>
          <w:sz w:val="20"/>
          <w:szCs w:val="20"/>
          <w:lang w:val="en-GB"/>
        </w:rPr>
        <w:t>ises development of the EU from </w:t>
      </w:r>
      <w:r w:rsidRPr="00F4624C">
        <w:rPr>
          <w:rFonts w:ascii="Arial" w:hAnsi="Arial" w:cs="Arial"/>
          <w:bCs/>
          <w:i/>
          <w:sz w:val="20"/>
          <w:szCs w:val="20"/>
          <w:lang w:val="en-GB"/>
        </w:rPr>
        <w:t xml:space="preserve">1993, when the Maastricht Treaty came into force. </w:t>
      </w:r>
    </w:p>
    <w:p w:rsidR="00DD39D4" w:rsidRPr="00F4624C" w:rsidRDefault="00DD39D4" w:rsidP="003B394A">
      <w:pPr>
        <w:jc w:val="both"/>
        <w:rPr>
          <w:rFonts w:ascii="Arial" w:hAnsi="Arial" w:cs="Arial"/>
          <w:bCs/>
          <w:i/>
          <w:sz w:val="20"/>
          <w:szCs w:val="20"/>
          <w:lang w:val="en-GB"/>
        </w:rPr>
      </w:pPr>
    </w:p>
    <w:tbl>
      <w:tblPr>
        <w:tblW w:w="9057" w:type="dxa"/>
        <w:tblInd w:w="55" w:type="dxa"/>
        <w:tblCellMar>
          <w:left w:w="70" w:type="dxa"/>
          <w:right w:w="70" w:type="dxa"/>
        </w:tblCellMar>
        <w:tblLook w:val="04A0"/>
      </w:tblPr>
      <w:tblGrid>
        <w:gridCol w:w="3867"/>
        <w:gridCol w:w="1455"/>
        <w:gridCol w:w="627"/>
        <w:gridCol w:w="781"/>
        <w:gridCol w:w="745"/>
        <w:gridCol w:w="805"/>
        <w:gridCol w:w="777"/>
      </w:tblGrid>
      <w:tr w:rsidR="00DD39D4" w:rsidRPr="00F4624C" w:rsidTr="00120B6D">
        <w:trPr>
          <w:trHeight w:val="319"/>
        </w:trPr>
        <w:tc>
          <w:tcPr>
            <w:tcW w:w="386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39D4" w:rsidRPr="00F4624C" w:rsidRDefault="008208E4"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Countries which joined the EU</w:t>
            </w:r>
          </w:p>
        </w:tc>
        <w:tc>
          <w:tcPr>
            <w:tcW w:w="1455" w:type="dxa"/>
            <w:tcBorders>
              <w:top w:val="single" w:sz="12" w:space="0" w:color="auto"/>
              <w:left w:val="nil"/>
              <w:bottom w:val="single" w:sz="12" w:space="0" w:color="auto"/>
              <w:right w:val="single" w:sz="4" w:space="0" w:color="auto"/>
            </w:tcBorders>
            <w:shd w:val="clear" w:color="auto" w:fill="auto"/>
            <w:noWrap/>
            <w:vAlign w:val="center"/>
            <w:hideMark/>
          </w:tcPr>
          <w:p w:rsidR="00DD39D4" w:rsidRPr="00F4624C" w:rsidRDefault="008208E4"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Date of joining</w:t>
            </w:r>
          </w:p>
        </w:tc>
        <w:tc>
          <w:tcPr>
            <w:tcW w:w="3735" w:type="dxa"/>
            <w:gridSpan w:val="5"/>
            <w:tcBorders>
              <w:top w:val="single" w:sz="12" w:space="0" w:color="auto"/>
              <w:left w:val="nil"/>
              <w:bottom w:val="single" w:sz="12" w:space="0" w:color="auto"/>
              <w:right w:val="single" w:sz="12" w:space="0" w:color="auto"/>
            </w:tcBorders>
            <w:shd w:val="clear" w:color="auto" w:fill="auto"/>
            <w:noWrap/>
            <w:vAlign w:val="center"/>
            <w:hideMark/>
          </w:tcPr>
          <w:p w:rsidR="00DD39D4" w:rsidRPr="00F4624C" w:rsidRDefault="008208E4"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Abbreviations</w:t>
            </w:r>
          </w:p>
        </w:tc>
      </w:tr>
      <w:tr w:rsidR="00DD39D4" w:rsidRPr="00F4624C" w:rsidTr="00120B6D">
        <w:trPr>
          <w:trHeight w:val="1269"/>
        </w:trPr>
        <w:tc>
          <w:tcPr>
            <w:tcW w:w="3867"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DD39D4" w:rsidRPr="00F4624C" w:rsidRDefault="006A1C15" w:rsidP="00120B6D">
            <w:pP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Belgium, Denmark, France, Germany, Greece, Ireland, Italy, Luxembourg, Netherlands, Portugal, Spain, United Kingdom</w:t>
            </w:r>
          </w:p>
        </w:tc>
        <w:tc>
          <w:tcPr>
            <w:tcW w:w="1455" w:type="dxa"/>
            <w:tcBorders>
              <w:top w:val="single" w:sz="12" w:space="0" w:color="auto"/>
              <w:left w:val="nil"/>
              <w:bottom w:val="single" w:sz="4" w:space="0" w:color="auto"/>
              <w:right w:val="single" w:sz="4" w:space="0" w:color="auto"/>
            </w:tcBorders>
            <w:shd w:val="clear" w:color="auto" w:fill="auto"/>
            <w:vAlign w:val="center"/>
            <w:hideMark/>
          </w:tcPr>
          <w:p w:rsidR="00DD39D4" w:rsidRPr="00F4624C" w:rsidRDefault="006A1C15" w:rsidP="00DD39D4">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 xml:space="preserve">1 November 1993 </w:t>
            </w:r>
            <w:r w:rsidRPr="00F4624C">
              <w:rPr>
                <w:rFonts w:ascii="Arial" w:eastAsia="Times New Roman" w:hAnsi="Arial" w:cs="Arial"/>
                <w:i/>
                <w:iCs/>
                <w:color w:val="000000"/>
                <w:sz w:val="20"/>
                <w:szCs w:val="20"/>
                <w:lang w:val="en-GB" w:eastAsia="cs-CZ"/>
              </w:rPr>
              <w:br/>
              <w:t xml:space="preserve">(the Treaty on </w:t>
            </w:r>
            <w:r w:rsidRPr="00F4624C">
              <w:rPr>
                <w:rFonts w:ascii="Arial" w:eastAsia="Times New Roman" w:hAnsi="Arial" w:cs="Arial"/>
                <w:i/>
                <w:iCs/>
                <w:color w:val="000000"/>
                <w:sz w:val="20"/>
                <w:szCs w:val="20"/>
                <w:lang w:val="en-GB" w:eastAsia="cs-CZ"/>
              </w:rPr>
              <w:br/>
              <w:t>European Union)</w:t>
            </w:r>
          </w:p>
        </w:tc>
        <w:tc>
          <w:tcPr>
            <w:tcW w:w="627" w:type="dxa"/>
            <w:tcBorders>
              <w:top w:val="single" w:sz="12" w:space="0" w:color="auto"/>
              <w:left w:val="nil"/>
              <w:bottom w:val="single" w:sz="4" w:space="0" w:color="auto"/>
              <w:right w:val="single" w:sz="4" w:space="0" w:color="auto"/>
            </w:tcBorders>
            <w:shd w:val="clear" w:color="auto" w:fill="auto"/>
            <w:noWrap/>
            <w:vAlign w:val="center"/>
            <w:hideMark/>
          </w:tcPr>
          <w:p w:rsidR="00DD39D4" w:rsidRPr="00F4624C" w:rsidRDefault="006A1C15" w:rsidP="008B52A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EU</w:t>
            </w:r>
          </w:p>
        </w:tc>
        <w:tc>
          <w:tcPr>
            <w:tcW w:w="78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DD39D4" w:rsidRPr="00F4624C" w:rsidRDefault="006A1C15" w:rsidP="00A57F8F">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EU15</w:t>
            </w:r>
          </w:p>
        </w:tc>
        <w:tc>
          <w:tcPr>
            <w:tcW w:w="74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DD39D4" w:rsidRPr="00F4624C" w:rsidRDefault="006A1C15" w:rsidP="00A57F8F">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EU25</w:t>
            </w:r>
          </w:p>
        </w:tc>
        <w:tc>
          <w:tcPr>
            <w:tcW w:w="80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DD39D4" w:rsidRPr="00F4624C" w:rsidRDefault="006A1C15" w:rsidP="00A57F8F">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EU27</w:t>
            </w:r>
          </w:p>
        </w:tc>
        <w:tc>
          <w:tcPr>
            <w:tcW w:w="777" w:type="dxa"/>
            <w:vMerge w:val="restart"/>
            <w:tcBorders>
              <w:top w:val="single" w:sz="12" w:space="0" w:color="auto"/>
              <w:left w:val="single" w:sz="4" w:space="0" w:color="auto"/>
              <w:bottom w:val="single" w:sz="12" w:space="0" w:color="000000"/>
              <w:right w:val="single" w:sz="12" w:space="0" w:color="auto"/>
            </w:tcBorders>
            <w:shd w:val="clear" w:color="auto" w:fill="auto"/>
            <w:noWrap/>
            <w:vAlign w:val="center"/>
            <w:hideMark/>
          </w:tcPr>
          <w:p w:rsidR="00DD39D4" w:rsidRPr="00F4624C" w:rsidRDefault="006A1C15" w:rsidP="00A57F8F">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EU28</w:t>
            </w:r>
          </w:p>
        </w:tc>
      </w:tr>
      <w:tr w:rsidR="00DD39D4" w:rsidRPr="00F4624C" w:rsidTr="00120B6D">
        <w:trPr>
          <w:trHeight w:val="258"/>
        </w:trPr>
        <w:tc>
          <w:tcPr>
            <w:tcW w:w="3867" w:type="dxa"/>
            <w:tcBorders>
              <w:top w:val="nil"/>
              <w:left w:val="single" w:sz="12" w:space="0" w:color="auto"/>
              <w:bottom w:val="single" w:sz="4" w:space="0" w:color="auto"/>
              <w:right w:val="single" w:sz="4" w:space="0" w:color="auto"/>
            </w:tcBorders>
            <w:shd w:val="clear" w:color="auto" w:fill="auto"/>
            <w:noWrap/>
            <w:vAlign w:val="center"/>
            <w:hideMark/>
          </w:tcPr>
          <w:p w:rsidR="00DD39D4" w:rsidRPr="00F4624C" w:rsidRDefault="006A1C15" w:rsidP="00120B6D">
            <w:pP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Austria, Finland, Sweden</w:t>
            </w:r>
          </w:p>
        </w:tc>
        <w:tc>
          <w:tcPr>
            <w:tcW w:w="20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D39D4" w:rsidRPr="00F4624C" w:rsidRDefault="006A1C15"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1 January 1995</w:t>
            </w:r>
          </w:p>
        </w:tc>
        <w:tc>
          <w:tcPr>
            <w:tcW w:w="780" w:type="dxa"/>
            <w:vMerge/>
            <w:tcBorders>
              <w:top w:val="nil"/>
              <w:left w:val="single" w:sz="4" w:space="0" w:color="auto"/>
              <w:bottom w:val="single" w:sz="4" w:space="0" w:color="000000"/>
              <w:right w:val="single" w:sz="4" w:space="0" w:color="auto"/>
            </w:tcBorders>
            <w:vAlign w:val="center"/>
            <w:hideMark/>
          </w:tcPr>
          <w:p w:rsidR="00DD39D4" w:rsidRPr="00F4624C" w:rsidRDefault="00DD39D4" w:rsidP="00120B6D">
            <w:pPr>
              <w:jc w:val="center"/>
              <w:rPr>
                <w:rFonts w:ascii="Arial" w:eastAsia="Times New Roman" w:hAnsi="Arial" w:cs="Arial"/>
                <w:i/>
                <w:iCs/>
                <w:color w:val="000000"/>
                <w:sz w:val="20"/>
                <w:szCs w:val="20"/>
                <w:lang w:val="en-GB" w:eastAsia="cs-CZ"/>
              </w:rPr>
            </w:pPr>
          </w:p>
        </w:tc>
        <w:tc>
          <w:tcPr>
            <w:tcW w:w="745" w:type="dxa"/>
            <w:vMerge/>
            <w:tcBorders>
              <w:top w:val="nil"/>
              <w:left w:val="single" w:sz="4" w:space="0" w:color="auto"/>
              <w:bottom w:val="single" w:sz="4" w:space="0" w:color="000000"/>
              <w:right w:val="single" w:sz="4" w:space="0" w:color="auto"/>
            </w:tcBorders>
            <w:vAlign w:val="center"/>
            <w:hideMark/>
          </w:tcPr>
          <w:p w:rsidR="00DD39D4" w:rsidRPr="00F4624C" w:rsidRDefault="00DD39D4" w:rsidP="00120B6D">
            <w:pPr>
              <w:jc w:val="center"/>
              <w:rPr>
                <w:rFonts w:ascii="Arial" w:eastAsia="Times New Roman" w:hAnsi="Arial" w:cs="Arial"/>
                <w:i/>
                <w:iCs/>
                <w:color w:val="000000"/>
                <w:sz w:val="20"/>
                <w:szCs w:val="20"/>
                <w:lang w:val="en-GB" w:eastAsia="cs-CZ"/>
              </w:rPr>
            </w:pPr>
          </w:p>
        </w:tc>
        <w:tc>
          <w:tcPr>
            <w:tcW w:w="805" w:type="dxa"/>
            <w:vMerge/>
            <w:tcBorders>
              <w:top w:val="nil"/>
              <w:left w:val="single" w:sz="4" w:space="0" w:color="auto"/>
              <w:bottom w:val="single" w:sz="4" w:space="0" w:color="000000"/>
              <w:right w:val="single" w:sz="4" w:space="0" w:color="auto"/>
            </w:tcBorders>
            <w:vAlign w:val="center"/>
            <w:hideMark/>
          </w:tcPr>
          <w:p w:rsidR="00DD39D4" w:rsidRPr="00F4624C" w:rsidRDefault="00DD39D4" w:rsidP="00120B6D">
            <w:pPr>
              <w:jc w:val="center"/>
              <w:rPr>
                <w:rFonts w:ascii="Arial" w:eastAsia="Times New Roman" w:hAnsi="Arial" w:cs="Arial"/>
                <w:i/>
                <w:iCs/>
                <w:color w:val="000000"/>
                <w:sz w:val="20"/>
                <w:szCs w:val="20"/>
                <w:lang w:val="en-GB" w:eastAsia="cs-CZ"/>
              </w:rPr>
            </w:pPr>
          </w:p>
        </w:tc>
        <w:tc>
          <w:tcPr>
            <w:tcW w:w="777" w:type="dxa"/>
            <w:vMerge/>
            <w:tcBorders>
              <w:top w:val="nil"/>
              <w:left w:val="single" w:sz="4" w:space="0" w:color="auto"/>
              <w:bottom w:val="single" w:sz="12" w:space="0" w:color="000000"/>
              <w:right w:val="single" w:sz="12" w:space="0" w:color="auto"/>
            </w:tcBorders>
            <w:vAlign w:val="center"/>
            <w:hideMark/>
          </w:tcPr>
          <w:p w:rsidR="00DD39D4" w:rsidRPr="00F4624C" w:rsidRDefault="00DD39D4" w:rsidP="00A57F8F">
            <w:pPr>
              <w:jc w:val="center"/>
              <w:rPr>
                <w:rFonts w:ascii="Arial" w:eastAsia="Times New Roman" w:hAnsi="Arial" w:cs="Arial"/>
                <w:i/>
                <w:iCs/>
                <w:color w:val="000000"/>
                <w:sz w:val="20"/>
                <w:szCs w:val="20"/>
                <w:lang w:val="en-GB" w:eastAsia="cs-CZ"/>
              </w:rPr>
            </w:pPr>
          </w:p>
        </w:tc>
      </w:tr>
      <w:tr w:rsidR="00DD39D4" w:rsidRPr="00F4624C" w:rsidTr="00120B6D">
        <w:trPr>
          <w:trHeight w:val="775"/>
        </w:trPr>
        <w:tc>
          <w:tcPr>
            <w:tcW w:w="3867" w:type="dxa"/>
            <w:tcBorders>
              <w:top w:val="nil"/>
              <w:left w:val="single" w:sz="12" w:space="0" w:color="auto"/>
              <w:bottom w:val="single" w:sz="4" w:space="0" w:color="auto"/>
              <w:right w:val="single" w:sz="4" w:space="0" w:color="auto"/>
            </w:tcBorders>
            <w:shd w:val="clear" w:color="auto" w:fill="auto"/>
            <w:vAlign w:val="center"/>
            <w:hideMark/>
          </w:tcPr>
          <w:p w:rsidR="00DD39D4" w:rsidRPr="00F4624C" w:rsidRDefault="006A1C15" w:rsidP="00120B6D">
            <w:pP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Cyprus, Czech Republic, Estonia, Hungary, Latvia, Lithuania, Malta, Poland, Slovakia, Slovenia</w:t>
            </w:r>
          </w:p>
        </w:tc>
        <w:tc>
          <w:tcPr>
            <w:tcW w:w="28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D39D4" w:rsidRPr="00F4624C" w:rsidRDefault="006A1C15"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1 May 2004</w:t>
            </w:r>
          </w:p>
        </w:tc>
        <w:tc>
          <w:tcPr>
            <w:tcW w:w="745" w:type="dxa"/>
            <w:vMerge/>
            <w:tcBorders>
              <w:top w:val="nil"/>
              <w:left w:val="single" w:sz="4" w:space="0" w:color="auto"/>
              <w:bottom w:val="single" w:sz="4" w:space="0" w:color="000000"/>
              <w:right w:val="single" w:sz="4" w:space="0" w:color="auto"/>
            </w:tcBorders>
            <w:vAlign w:val="center"/>
            <w:hideMark/>
          </w:tcPr>
          <w:p w:rsidR="00DD39D4" w:rsidRPr="00F4624C" w:rsidRDefault="00DD39D4" w:rsidP="00120B6D">
            <w:pPr>
              <w:jc w:val="center"/>
              <w:rPr>
                <w:rFonts w:ascii="Arial" w:eastAsia="Times New Roman" w:hAnsi="Arial" w:cs="Arial"/>
                <w:i/>
                <w:iCs/>
                <w:color w:val="000000"/>
                <w:sz w:val="20"/>
                <w:szCs w:val="20"/>
                <w:lang w:val="en-GB" w:eastAsia="cs-CZ"/>
              </w:rPr>
            </w:pPr>
          </w:p>
        </w:tc>
        <w:tc>
          <w:tcPr>
            <w:tcW w:w="805" w:type="dxa"/>
            <w:vMerge/>
            <w:tcBorders>
              <w:top w:val="nil"/>
              <w:left w:val="single" w:sz="4" w:space="0" w:color="auto"/>
              <w:bottom w:val="single" w:sz="4" w:space="0" w:color="000000"/>
              <w:right w:val="single" w:sz="4" w:space="0" w:color="auto"/>
            </w:tcBorders>
            <w:vAlign w:val="center"/>
            <w:hideMark/>
          </w:tcPr>
          <w:p w:rsidR="00DD39D4" w:rsidRPr="00F4624C" w:rsidRDefault="00DD39D4" w:rsidP="00120B6D">
            <w:pPr>
              <w:jc w:val="center"/>
              <w:rPr>
                <w:rFonts w:ascii="Arial" w:eastAsia="Times New Roman" w:hAnsi="Arial" w:cs="Arial"/>
                <w:i/>
                <w:iCs/>
                <w:color w:val="000000"/>
                <w:sz w:val="20"/>
                <w:szCs w:val="20"/>
                <w:lang w:val="en-GB" w:eastAsia="cs-CZ"/>
              </w:rPr>
            </w:pPr>
          </w:p>
        </w:tc>
        <w:tc>
          <w:tcPr>
            <w:tcW w:w="777" w:type="dxa"/>
            <w:vMerge/>
            <w:tcBorders>
              <w:top w:val="nil"/>
              <w:left w:val="single" w:sz="4" w:space="0" w:color="auto"/>
              <w:bottom w:val="single" w:sz="12" w:space="0" w:color="000000"/>
              <w:right w:val="single" w:sz="12" w:space="0" w:color="auto"/>
            </w:tcBorders>
            <w:vAlign w:val="center"/>
            <w:hideMark/>
          </w:tcPr>
          <w:p w:rsidR="00DD39D4" w:rsidRPr="00F4624C" w:rsidRDefault="00DD39D4" w:rsidP="00A57F8F">
            <w:pPr>
              <w:jc w:val="center"/>
              <w:rPr>
                <w:rFonts w:ascii="Arial" w:eastAsia="Times New Roman" w:hAnsi="Arial" w:cs="Arial"/>
                <w:i/>
                <w:iCs/>
                <w:color w:val="000000"/>
                <w:sz w:val="20"/>
                <w:szCs w:val="20"/>
                <w:lang w:val="en-GB" w:eastAsia="cs-CZ"/>
              </w:rPr>
            </w:pPr>
          </w:p>
        </w:tc>
      </w:tr>
      <w:tr w:rsidR="00DD39D4" w:rsidRPr="00F4624C" w:rsidTr="00120B6D">
        <w:trPr>
          <w:trHeight w:val="258"/>
        </w:trPr>
        <w:tc>
          <w:tcPr>
            <w:tcW w:w="3867" w:type="dxa"/>
            <w:tcBorders>
              <w:top w:val="nil"/>
              <w:left w:val="single" w:sz="12" w:space="0" w:color="auto"/>
              <w:bottom w:val="single" w:sz="4" w:space="0" w:color="auto"/>
              <w:right w:val="single" w:sz="4" w:space="0" w:color="auto"/>
            </w:tcBorders>
            <w:shd w:val="clear" w:color="auto" w:fill="auto"/>
            <w:noWrap/>
            <w:vAlign w:val="center"/>
            <w:hideMark/>
          </w:tcPr>
          <w:p w:rsidR="00DD39D4" w:rsidRPr="00F4624C" w:rsidRDefault="006A1C15" w:rsidP="00120B6D">
            <w:pP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Bulgaria, Romania</w:t>
            </w:r>
          </w:p>
        </w:tc>
        <w:tc>
          <w:tcPr>
            <w:tcW w:w="360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D39D4" w:rsidRPr="00F4624C" w:rsidRDefault="006A1C15"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1 January 2007</w:t>
            </w:r>
          </w:p>
        </w:tc>
        <w:tc>
          <w:tcPr>
            <w:tcW w:w="805" w:type="dxa"/>
            <w:vMerge/>
            <w:tcBorders>
              <w:top w:val="nil"/>
              <w:left w:val="single" w:sz="4" w:space="0" w:color="auto"/>
              <w:bottom w:val="single" w:sz="4" w:space="0" w:color="000000"/>
              <w:right w:val="single" w:sz="4" w:space="0" w:color="auto"/>
            </w:tcBorders>
            <w:vAlign w:val="center"/>
            <w:hideMark/>
          </w:tcPr>
          <w:p w:rsidR="00DD39D4" w:rsidRPr="00F4624C" w:rsidRDefault="00DD39D4" w:rsidP="00120B6D">
            <w:pPr>
              <w:jc w:val="center"/>
              <w:rPr>
                <w:rFonts w:ascii="Arial" w:eastAsia="Times New Roman" w:hAnsi="Arial" w:cs="Arial"/>
                <w:i/>
                <w:iCs/>
                <w:color w:val="000000"/>
                <w:sz w:val="20"/>
                <w:szCs w:val="20"/>
                <w:lang w:val="en-GB" w:eastAsia="cs-CZ"/>
              </w:rPr>
            </w:pPr>
          </w:p>
        </w:tc>
        <w:tc>
          <w:tcPr>
            <w:tcW w:w="777" w:type="dxa"/>
            <w:vMerge/>
            <w:tcBorders>
              <w:top w:val="nil"/>
              <w:left w:val="single" w:sz="4" w:space="0" w:color="auto"/>
              <w:bottom w:val="single" w:sz="12" w:space="0" w:color="000000"/>
              <w:right w:val="single" w:sz="12" w:space="0" w:color="auto"/>
            </w:tcBorders>
            <w:vAlign w:val="center"/>
            <w:hideMark/>
          </w:tcPr>
          <w:p w:rsidR="00DD39D4" w:rsidRPr="00F4624C" w:rsidRDefault="00DD39D4" w:rsidP="00A57F8F">
            <w:pPr>
              <w:jc w:val="center"/>
              <w:rPr>
                <w:rFonts w:ascii="Arial" w:eastAsia="Times New Roman" w:hAnsi="Arial" w:cs="Arial"/>
                <w:i/>
                <w:iCs/>
                <w:color w:val="000000"/>
                <w:sz w:val="20"/>
                <w:szCs w:val="20"/>
                <w:lang w:val="en-GB" w:eastAsia="cs-CZ"/>
              </w:rPr>
            </w:pPr>
          </w:p>
        </w:tc>
      </w:tr>
      <w:tr w:rsidR="00DD39D4" w:rsidRPr="00F4624C" w:rsidTr="00120B6D">
        <w:trPr>
          <w:trHeight w:val="274"/>
        </w:trPr>
        <w:tc>
          <w:tcPr>
            <w:tcW w:w="3867" w:type="dxa"/>
            <w:tcBorders>
              <w:top w:val="nil"/>
              <w:left w:val="single" w:sz="12" w:space="0" w:color="auto"/>
              <w:bottom w:val="single" w:sz="12" w:space="0" w:color="auto"/>
              <w:right w:val="single" w:sz="4" w:space="0" w:color="auto"/>
            </w:tcBorders>
            <w:shd w:val="clear" w:color="auto" w:fill="auto"/>
            <w:noWrap/>
            <w:vAlign w:val="center"/>
            <w:hideMark/>
          </w:tcPr>
          <w:p w:rsidR="00DD39D4" w:rsidRPr="00F4624C" w:rsidRDefault="006A1C15" w:rsidP="00120B6D">
            <w:pP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Croatia</w:t>
            </w:r>
          </w:p>
        </w:tc>
        <w:tc>
          <w:tcPr>
            <w:tcW w:w="4412" w:type="dxa"/>
            <w:gridSpan w:val="5"/>
            <w:tcBorders>
              <w:top w:val="single" w:sz="4" w:space="0" w:color="auto"/>
              <w:left w:val="nil"/>
              <w:bottom w:val="single" w:sz="12" w:space="0" w:color="auto"/>
              <w:right w:val="single" w:sz="4" w:space="0" w:color="000000"/>
            </w:tcBorders>
            <w:shd w:val="clear" w:color="auto" w:fill="auto"/>
            <w:noWrap/>
            <w:vAlign w:val="center"/>
            <w:hideMark/>
          </w:tcPr>
          <w:p w:rsidR="00DD39D4" w:rsidRPr="00F4624C" w:rsidRDefault="006A1C15" w:rsidP="00120B6D">
            <w:pPr>
              <w:jc w:val="center"/>
              <w:rPr>
                <w:rFonts w:ascii="Arial" w:eastAsia="Times New Roman" w:hAnsi="Arial" w:cs="Arial"/>
                <w:i/>
                <w:iCs/>
                <w:color w:val="000000"/>
                <w:sz w:val="20"/>
                <w:szCs w:val="20"/>
                <w:lang w:val="en-GB" w:eastAsia="cs-CZ"/>
              </w:rPr>
            </w:pPr>
            <w:r w:rsidRPr="00F4624C">
              <w:rPr>
                <w:rFonts w:ascii="Arial" w:eastAsia="Times New Roman" w:hAnsi="Arial" w:cs="Arial"/>
                <w:i/>
                <w:iCs/>
                <w:color w:val="000000"/>
                <w:sz w:val="20"/>
                <w:szCs w:val="20"/>
                <w:lang w:val="en-GB" w:eastAsia="cs-CZ"/>
              </w:rPr>
              <w:t>1 July 2013</w:t>
            </w:r>
          </w:p>
        </w:tc>
        <w:tc>
          <w:tcPr>
            <w:tcW w:w="777" w:type="dxa"/>
            <w:vMerge/>
            <w:tcBorders>
              <w:top w:val="nil"/>
              <w:left w:val="single" w:sz="4" w:space="0" w:color="auto"/>
              <w:bottom w:val="single" w:sz="12" w:space="0" w:color="000000"/>
              <w:right w:val="single" w:sz="12" w:space="0" w:color="auto"/>
            </w:tcBorders>
            <w:vAlign w:val="center"/>
            <w:hideMark/>
          </w:tcPr>
          <w:p w:rsidR="00DD39D4" w:rsidRPr="00F4624C" w:rsidRDefault="00DD39D4" w:rsidP="00A57F8F">
            <w:pPr>
              <w:jc w:val="center"/>
              <w:rPr>
                <w:rFonts w:ascii="Arial" w:eastAsia="Times New Roman" w:hAnsi="Arial" w:cs="Arial"/>
                <w:i/>
                <w:iCs/>
                <w:color w:val="000000"/>
                <w:sz w:val="20"/>
                <w:szCs w:val="20"/>
                <w:lang w:val="en-GB" w:eastAsia="cs-CZ"/>
              </w:rPr>
            </w:pPr>
          </w:p>
        </w:tc>
      </w:tr>
    </w:tbl>
    <w:p w:rsidR="00D33AAD" w:rsidRPr="00F4624C" w:rsidRDefault="00D33AAD" w:rsidP="00D33AAD">
      <w:pPr>
        <w:rPr>
          <w:rFonts w:ascii="Arial" w:hAnsi="Arial" w:cs="Arial"/>
          <w:i/>
          <w:sz w:val="20"/>
          <w:szCs w:val="20"/>
          <w:lang w:val="en-GB"/>
        </w:rPr>
      </w:pPr>
    </w:p>
    <w:p w:rsidR="00A47F18" w:rsidRPr="00F4624C" w:rsidRDefault="006A1C15" w:rsidP="00AE6CE4">
      <w:pPr>
        <w:spacing w:before="120"/>
        <w:ind w:firstLine="709"/>
        <w:jc w:val="both"/>
        <w:rPr>
          <w:rFonts w:ascii="Arial" w:hAnsi="Arial" w:cs="Arial"/>
          <w:bCs/>
          <w:i/>
          <w:sz w:val="20"/>
          <w:szCs w:val="20"/>
          <w:lang w:val="en-GB"/>
        </w:rPr>
      </w:pPr>
      <w:r w:rsidRPr="00F4624C">
        <w:rPr>
          <w:rFonts w:ascii="Arial" w:hAnsi="Arial" w:cs="Arial"/>
          <w:bCs/>
          <w:i/>
          <w:sz w:val="20"/>
          <w:szCs w:val="20"/>
          <w:lang w:val="en-GB"/>
        </w:rPr>
        <w:t>The </w:t>
      </w:r>
      <w:r w:rsidRPr="00F4624C">
        <w:rPr>
          <w:rFonts w:ascii="Arial" w:hAnsi="Arial" w:cs="Arial"/>
          <w:b/>
          <w:bCs/>
          <w:i/>
          <w:sz w:val="20"/>
          <w:szCs w:val="20"/>
          <w:lang w:val="en-GB"/>
        </w:rPr>
        <w:t xml:space="preserve">Eurozone (the Euro area, </w:t>
      </w:r>
      <w:r w:rsidR="00C7640E" w:rsidRPr="00F4624C">
        <w:rPr>
          <w:rFonts w:ascii="Arial" w:hAnsi="Arial" w:cs="Arial"/>
          <w:b/>
          <w:bCs/>
          <w:i/>
          <w:sz w:val="20"/>
          <w:szCs w:val="20"/>
          <w:lang w:val="en-GB"/>
        </w:rPr>
        <w:t>EA19</w:t>
      </w:r>
      <w:r w:rsidRPr="00F4624C">
        <w:rPr>
          <w:rFonts w:ascii="Arial" w:hAnsi="Arial" w:cs="Arial"/>
          <w:b/>
          <w:bCs/>
          <w:i/>
          <w:sz w:val="20"/>
          <w:szCs w:val="20"/>
          <w:lang w:val="en-GB"/>
        </w:rPr>
        <w:t>)</w:t>
      </w:r>
      <w:r w:rsidRPr="00F4624C">
        <w:rPr>
          <w:rFonts w:ascii="Arial" w:hAnsi="Arial" w:cs="Arial"/>
          <w:bCs/>
          <w:i/>
          <w:sz w:val="20"/>
          <w:szCs w:val="20"/>
          <w:lang w:val="en-GB"/>
        </w:rPr>
        <w:t xml:space="preserve"> is the territory of those </w:t>
      </w:r>
      <w:r w:rsidR="002E2EB5" w:rsidRPr="00F4624C">
        <w:rPr>
          <w:rFonts w:ascii="Arial" w:hAnsi="Arial" w:cs="Arial"/>
          <w:bCs/>
          <w:i/>
          <w:sz w:val="20"/>
          <w:szCs w:val="20"/>
          <w:lang w:val="en-GB"/>
        </w:rPr>
        <w:t>M</w:t>
      </w:r>
      <w:r w:rsidRPr="00F4624C">
        <w:rPr>
          <w:rFonts w:ascii="Arial" w:hAnsi="Arial" w:cs="Arial"/>
          <w:bCs/>
          <w:i/>
          <w:sz w:val="20"/>
          <w:szCs w:val="20"/>
          <w:lang w:val="en-GB"/>
        </w:rPr>
        <w:t xml:space="preserve">ember </w:t>
      </w:r>
      <w:r w:rsidR="002E2EB5" w:rsidRPr="00F4624C">
        <w:rPr>
          <w:rFonts w:ascii="Arial" w:hAnsi="Arial" w:cs="Arial"/>
          <w:bCs/>
          <w:i/>
          <w:sz w:val="20"/>
          <w:szCs w:val="20"/>
          <w:lang w:val="en-GB"/>
        </w:rPr>
        <w:t>S</w:t>
      </w:r>
      <w:r w:rsidRPr="00F4624C">
        <w:rPr>
          <w:rFonts w:ascii="Arial" w:hAnsi="Arial" w:cs="Arial"/>
          <w:bCs/>
          <w:i/>
          <w:sz w:val="20"/>
          <w:szCs w:val="20"/>
          <w:lang w:val="en-GB"/>
        </w:rPr>
        <w:t xml:space="preserve">tates of the European Union, which introduced the euro as their common currency in accordance with the Treaty Establishing the European Community. The Eurozone had </w:t>
      </w:r>
      <w:r w:rsidR="00785B94" w:rsidRPr="00F4624C">
        <w:rPr>
          <w:rFonts w:ascii="Arial" w:hAnsi="Arial" w:cs="Arial"/>
          <w:bCs/>
          <w:i/>
          <w:sz w:val="20"/>
          <w:szCs w:val="20"/>
          <w:lang w:val="en-GB"/>
        </w:rPr>
        <w:t>19 </w:t>
      </w:r>
      <w:r w:rsidRPr="00F4624C">
        <w:rPr>
          <w:rFonts w:ascii="Arial" w:hAnsi="Arial" w:cs="Arial"/>
          <w:bCs/>
          <w:i/>
          <w:sz w:val="20"/>
          <w:szCs w:val="20"/>
          <w:lang w:val="en-GB"/>
        </w:rPr>
        <w:t>members as at 1 January </w:t>
      </w:r>
      <w:r w:rsidR="00785B94" w:rsidRPr="00F4624C">
        <w:rPr>
          <w:rFonts w:ascii="Arial" w:hAnsi="Arial" w:cs="Arial"/>
          <w:bCs/>
          <w:i/>
          <w:sz w:val="20"/>
          <w:szCs w:val="20"/>
          <w:lang w:val="en-GB"/>
        </w:rPr>
        <w:t>2015</w:t>
      </w:r>
      <w:r w:rsidRPr="00F4624C">
        <w:rPr>
          <w:rFonts w:ascii="Arial" w:hAnsi="Arial" w:cs="Arial"/>
          <w:bCs/>
          <w:i/>
          <w:sz w:val="20"/>
          <w:szCs w:val="20"/>
          <w:lang w:val="en-GB"/>
        </w:rPr>
        <w:t>. The table below gives an overview of dates when the countries introduced the euro.</w:t>
      </w:r>
    </w:p>
    <w:p w:rsidR="00A47F18" w:rsidRPr="00F4624C" w:rsidRDefault="00A47F18" w:rsidP="00A47F18">
      <w:pPr>
        <w:rPr>
          <w:rFonts w:ascii="Arial" w:hAnsi="Arial" w:cs="Arial"/>
        </w:rPr>
      </w:pPr>
    </w:p>
    <w:tbl>
      <w:tblPr>
        <w:tblW w:w="9211" w:type="dxa"/>
        <w:tblInd w:w="55" w:type="dxa"/>
        <w:tblCellMar>
          <w:left w:w="70" w:type="dxa"/>
          <w:right w:w="70" w:type="dxa"/>
        </w:tblCellMar>
        <w:tblLook w:val="04A0"/>
      </w:tblPr>
      <w:tblGrid>
        <w:gridCol w:w="2992"/>
        <w:gridCol w:w="1174"/>
        <w:gridCol w:w="709"/>
        <w:gridCol w:w="709"/>
        <w:gridCol w:w="796"/>
        <w:gridCol w:w="763"/>
        <w:gridCol w:w="709"/>
        <w:gridCol w:w="708"/>
        <w:gridCol w:w="691"/>
      </w:tblGrid>
      <w:tr w:rsidR="008178E0" w:rsidRPr="00F4624C" w:rsidTr="00A43D4C">
        <w:trPr>
          <w:trHeight w:val="315"/>
        </w:trPr>
        <w:tc>
          <w:tcPr>
            <w:tcW w:w="29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Countries where the euro was introduced</w:t>
            </w:r>
          </w:p>
        </w:tc>
        <w:tc>
          <w:tcPr>
            <w:tcW w:w="1134" w:type="dxa"/>
            <w:tcBorders>
              <w:top w:val="single" w:sz="12" w:space="0" w:color="auto"/>
              <w:left w:val="nil"/>
              <w:bottom w:val="single" w:sz="12" w:space="0" w:color="auto"/>
              <w:right w:val="single" w:sz="4" w:space="0" w:color="auto"/>
            </w:tcBorders>
            <w:shd w:val="clear" w:color="auto" w:fill="auto"/>
            <w:noWrap/>
            <w:vAlign w:val="center"/>
            <w:hideMark/>
          </w:tcPr>
          <w:p w:rsidR="00A47F18" w:rsidRPr="00F4624C" w:rsidRDefault="006343B4" w:rsidP="00A43D4C">
            <w:pPr>
              <w:jc w:val="center"/>
              <w:rPr>
                <w:rFonts w:ascii="Arial" w:hAnsi="Arial" w:cs="Arial"/>
                <w:i/>
                <w:color w:val="FFFFFF" w:themeColor="background1"/>
                <w:sz w:val="20"/>
                <w:szCs w:val="20"/>
                <w:lang w:val="en-GB"/>
              </w:rPr>
            </w:pPr>
            <w:r w:rsidRPr="00F4624C">
              <w:rPr>
                <w:rFonts w:ascii="Arial" w:eastAsia="Times New Roman" w:hAnsi="Arial" w:cs="Arial"/>
                <w:i/>
                <w:iCs/>
                <w:color w:val="000000"/>
                <w:sz w:val="20"/>
                <w:szCs w:val="20"/>
                <w:lang w:val="en-GB" w:eastAsia="cs-CZ"/>
              </w:rPr>
              <w:t>Date of introduction</w:t>
            </w:r>
          </w:p>
        </w:tc>
        <w:tc>
          <w:tcPr>
            <w:tcW w:w="5085" w:type="dxa"/>
            <w:gridSpan w:val="7"/>
            <w:tcBorders>
              <w:top w:val="single" w:sz="12" w:space="0" w:color="auto"/>
              <w:left w:val="nil"/>
              <w:bottom w:val="single" w:sz="12" w:space="0" w:color="auto"/>
              <w:right w:val="single" w:sz="12" w:space="0" w:color="auto"/>
            </w:tcBorders>
            <w:shd w:val="clear" w:color="auto" w:fill="auto"/>
            <w:noWrap/>
            <w:vAlign w:val="center"/>
            <w:hideMark/>
          </w:tcPr>
          <w:p w:rsidR="00A47F18" w:rsidRPr="00F4624C" w:rsidRDefault="006343B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Abbreviations</w:t>
            </w:r>
          </w:p>
        </w:tc>
      </w:tr>
      <w:tr w:rsidR="00A47F18" w:rsidRPr="00F4624C" w:rsidTr="00A43D4C">
        <w:trPr>
          <w:trHeight w:val="885"/>
        </w:trPr>
        <w:tc>
          <w:tcPr>
            <w:tcW w:w="2992" w:type="dxa"/>
            <w:tcBorders>
              <w:top w:val="nil"/>
              <w:left w:val="single" w:sz="8" w:space="0" w:color="auto"/>
              <w:bottom w:val="single" w:sz="4" w:space="0" w:color="auto"/>
              <w:right w:val="single" w:sz="4" w:space="0" w:color="auto"/>
            </w:tcBorders>
            <w:shd w:val="clear" w:color="auto" w:fill="auto"/>
            <w:vAlign w:val="bottom"/>
            <w:hideMark/>
          </w:tcPr>
          <w:p w:rsidR="00A47F18" w:rsidRPr="00F4624C" w:rsidRDefault="008178E0" w:rsidP="00A43D4C">
            <w:pP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Austria, Belgium, Finland, France, Germany, Greece, Ireland, Italy, Luxembourg, Netherlands, Portugal, Spain</w:t>
            </w:r>
          </w:p>
        </w:tc>
        <w:tc>
          <w:tcPr>
            <w:tcW w:w="1134" w:type="dxa"/>
            <w:tcBorders>
              <w:top w:val="nil"/>
              <w:left w:val="nil"/>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1 January 2002</w:t>
            </w:r>
          </w:p>
        </w:tc>
        <w:tc>
          <w:tcPr>
            <w:tcW w:w="709" w:type="dxa"/>
            <w:tcBorders>
              <w:top w:val="nil"/>
              <w:left w:val="nil"/>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EA13</w:t>
            </w:r>
          </w:p>
        </w:tc>
        <w:tc>
          <w:tcPr>
            <w:tcW w:w="7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EA15</w:t>
            </w:r>
          </w:p>
        </w:tc>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EA16</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EA17</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EA18</w:t>
            </w:r>
          </w:p>
        </w:tc>
        <w:tc>
          <w:tcPr>
            <w:tcW w:w="691"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EA19</w:t>
            </w:r>
          </w:p>
        </w:tc>
      </w:tr>
      <w:tr w:rsidR="00A47F18" w:rsidRPr="00F4624C" w:rsidTr="00A43D4C">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A47F18" w:rsidRPr="00F4624C" w:rsidRDefault="008178E0" w:rsidP="00A43D4C">
            <w:pP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Slovenia</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1 January 2007</w:t>
            </w:r>
          </w:p>
        </w:tc>
        <w:tc>
          <w:tcPr>
            <w:tcW w:w="709"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96"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63"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9"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8" w:type="dxa"/>
            <w:vMerge/>
            <w:tcBorders>
              <w:top w:val="nil"/>
              <w:left w:val="single" w:sz="4" w:space="0" w:color="auto"/>
              <w:bottom w:val="single" w:sz="4" w:space="0" w:color="000000"/>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691" w:type="dxa"/>
            <w:vMerge/>
            <w:tcBorders>
              <w:top w:val="nil"/>
              <w:left w:val="single" w:sz="4" w:space="0" w:color="auto"/>
              <w:bottom w:val="single" w:sz="8" w:space="0" w:color="000000"/>
              <w:right w:val="single" w:sz="8" w:space="0" w:color="auto"/>
            </w:tcBorders>
            <w:vAlign w:val="center"/>
            <w:hideMark/>
          </w:tcPr>
          <w:p w:rsidR="00A47F18" w:rsidRPr="00F4624C" w:rsidRDefault="00A47F18" w:rsidP="00A43D4C">
            <w:pPr>
              <w:rPr>
                <w:rFonts w:ascii="Arial" w:hAnsi="Arial" w:cs="Arial"/>
                <w:color w:val="FFFFFF" w:themeColor="background1"/>
                <w:lang w:val="en-GB"/>
              </w:rPr>
            </w:pPr>
          </w:p>
        </w:tc>
      </w:tr>
      <w:tr w:rsidR="00A47F18" w:rsidRPr="00F4624C" w:rsidTr="00A43D4C">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A47F18" w:rsidRPr="00F4624C" w:rsidRDefault="008178E0" w:rsidP="00A43D4C">
            <w:pP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Cyprus, Malta</w:t>
            </w:r>
          </w:p>
        </w:tc>
        <w:tc>
          <w:tcPr>
            <w:tcW w:w="2552" w:type="dxa"/>
            <w:gridSpan w:val="3"/>
            <w:tcBorders>
              <w:top w:val="single" w:sz="4" w:space="0" w:color="auto"/>
              <w:left w:val="nil"/>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1 January 2008</w:t>
            </w:r>
          </w:p>
        </w:tc>
        <w:tc>
          <w:tcPr>
            <w:tcW w:w="796"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63"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9"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8" w:type="dxa"/>
            <w:vMerge/>
            <w:tcBorders>
              <w:top w:val="nil"/>
              <w:left w:val="single" w:sz="4" w:space="0" w:color="auto"/>
              <w:bottom w:val="single" w:sz="4" w:space="0" w:color="000000"/>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691" w:type="dxa"/>
            <w:vMerge/>
            <w:tcBorders>
              <w:top w:val="nil"/>
              <w:left w:val="single" w:sz="4" w:space="0" w:color="auto"/>
              <w:bottom w:val="single" w:sz="8" w:space="0" w:color="000000"/>
              <w:right w:val="single" w:sz="8" w:space="0" w:color="auto"/>
            </w:tcBorders>
            <w:vAlign w:val="center"/>
            <w:hideMark/>
          </w:tcPr>
          <w:p w:rsidR="00A47F18" w:rsidRPr="00F4624C" w:rsidRDefault="00A47F18" w:rsidP="00A43D4C">
            <w:pPr>
              <w:rPr>
                <w:rFonts w:ascii="Arial" w:hAnsi="Arial" w:cs="Arial"/>
                <w:color w:val="FFFFFF" w:themeColor="background1"/>
                <w:lang w:val="en-GB"/>
              </w:rPr>
            </w:pPr>
          </w:p>
        </w:tc>
      </w:tr>
      <w:tr w:rsidR="00A47F18" w:rsidRPr="00F4624C" w:rsidTr="00A43D4C">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A47F18" w:rsidRPr="00F4624C" w:rsidRDefault="008178E0" w:rsidP="00A43D4C">
            <w:pP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Slovakia</w:t>
            </w:r>
          </w:p>
        </w:tc>
        <w:tc>
          <w:tcPr>
            <w:tcW w:w="3348" w:type="dxa"/>
            <w:gridSpan w:val="4"/>
            <w:tcBorders>
              <w:top w:val="single" w:sz="4" w:space="0" w:color="auto"/>
              <w:left w:val="nil"/>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1 January 2009</w:t>
            </w:r>
          </w:p>
        </w:tc>
        <w:tc>
          <w:tcPr>
            <w:tcW w:w="763"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9"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8" w:type="dxa"/>
            <w:vMerge/>
            <w:tcBorders>
              <w:top w:val="nil"/>
              <w:left w:val="single" w:sz="4" w:space="0" w:color="auto"/>
              <w:bottom w:val="single" w:sz="4" w:space="0" w:color="000000"/>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691" w:type="dxa"/>
            <w:vMerge/>
            <w:tcBorders>
              <w:top w:val="nil"/>
              <w:left w:val="single" w:sz="4" w:space="0" w:color="auto"/>
              <w:bottom w:val="single" w:sz="8" w:space="0" w:color="000000"/>
              <w:right w:val="single" w:sz="8" w:space="0" w:color="auto"/>
            </w:tcBorders>
            <w:vAlign w:val="center"/>
            <w:hideMark/>
          </w:tcPr>
          <w:p w:rsidR="00A47F18" w:rsidRPr="00F4624C" w:rsidRDefault="00A47F18" w:rsidP="00A43D4C">
            <w:pPr>
              <w:rPr>
                <w:rFonts w:ascii="Arial" w:hAnsi="Arial" w:cs="Arial"/>
                <w:color w:val="FFFFFF" w:themeColor="background1"/>
                <w:lang w:val="en-GB"/>
              </w:rPr>
            </w:pPr>
          </w:p>
        </w:tc>
      </w:tr>
      <w:tr w:rsidR="00A47F18" w:rsidRPr="00F4624C" w:rsidTr="00A43D4C">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A47F18" w:rsidRPr="00F4624C" w:rsidRDefault="008178E0" w:rsidP="00A43D4C">
            <w:pP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Estonia</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color w:val="000000"/>
                <w:sz w:val="20"/>
                <w:szCs w:val="20"/>
                <w:lang w:val="en-GB" w:eastAsia="cs-CZ"/>
              </w:rPr>
              <w:t>1 January 2011</w:t>
            </w:r>
          </w:p>
        </w:tc>
        <w:tc>
          <w:tcPr>
            <w:tcW w:w="709" w:type="dxa"/>
            <w:vMerge/>
            <w:tcBorders>
              <w:top w:val="nil"/>
              <w:left w:val="single" w:sz="4" w:space="0" w:color="auto"/>
              <w:bottom w:val="single" w:sz="4" w:space="0" w:color="auto"/>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708" w:type="dxa"/>
            <w:vMerge/>
            <w:tcBorders>
              <w:top w:val="nil"/>
              <w:left w:val="single" w:sz="4" w:space="0" w:color="auto"/>
              <w:bottom w:val="single" w:sz="4" w:space="0" w:color="000000"/>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691" w:type="dxa"/>
            <w:vMerge/>
            <w:tcBorders>
              <w:top w:val="nil"/>
              <w:left w:val="single" w:sz="4" w:space="0" w:color="auto"/>
              <w:bottom w:val="single" w:sz="8" w:space="0" w:color="000000"/>
              <w:right w:val="single" w:sz="8" w:space="0" w:color="auto"/>
            </w:tcBorders>
            <w:vAlign w:val="center"/>
            <w:hideMark/>
          </w:tcPr>
          <w:p w:rsidR="00A47F18" w:rsidRPr="00F4624C" w:rsidRDefault="00A47F18" w:rsidP="00A43D4C">
            <w:pPr>
              <w:rPr>
                <w:rFonts w:ascii="Arial" w:hAnsi="Arial" w:cs="Arial"/>
                <w:color w:val="FFFFFF" w:themeColor="background1"/>
                <w:lang w:val="en-GB"/>
              </w:rPr>
            </w:pPr>
          </w:p>
        </w:tc>
      </w:tr>
      <w:tr w:rsidR="00A47F18" w:rsidRPr="00F4624C" w:rsidTr="00A43D4C">
        <w:trPr>
          <w:trHeight w:val="264"/>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A47F18" w:rsidRPr="00F4624C" w:rsidRDefault="008178E0" w:rsidP="00A43D4C">
            <w:pPr>
              <w:rPr>
                <w:rFonts w:ascii="Arial" w:hAnsi="Arial" w:cs="Arial"/>
                <w:color w:val="FFFFFF" w:themeColor="background1"/>
                <w:lang w:val="en-GB"/>
              </w:rPr>
            </w:pPr>
            <w:r w:rsidRPr="00F4624C">
              <w:rPr>
                <w:rFonts w:ascii="Arial" w:eastAsia="Times New Roman" w:hAnsi="Arial" w:cs="Arial"/>
                <w:i/>
                <w:iCs/>
                <w:sz w:val="20"/>
                <w:szCs w:val="20"/>
                <w:lang w:val="en-GB" w:eastAsia="cs-CZ"/>
              </w:rPr>
              <w:t>Latvia</w:t>
            </w:r>
          </w:p>
        </w:tc>
        <w:tc>
          <w:tcPr>
            <w:tcW w:w="482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sz w:val="20"/>
                <w:szCs w:val="20"/>
                <w:lang w:val="en-GB" w:eastAsia="cs-CZ"/>
              </w:rPr>
              <w:t>1 January 2014</w:t>
            </w:r>
          </w:p>
        </w:tc>
        <w:tc>
          <w:tcPr>
            <w:tcW w:w="708" w:type="dxa"/>
            <w:vMerge/>
            <w:tcBorders>
              <w:top w:val="nil"/>
              <w:left w:val="single" w:sz="4" w:space="0" w:color="auto"/>
              <w:bottom w:val="single" w:sz="4" w:space="0" w:color="000000"/>
              <w:right w:val="single" w:sz="4" w:space="0" w:color="auto"/>
            </w:tcBorders>
            <w:vAlign w:val="center"/>
            <w:hideMark/>
          </w:tcPr>
          <w:p w:rsidR="00A47F18" w:rsidRPr="00F4624C" w:rsidRDefault="00A47F18" w:rsidP="00A43D4C">
            <w:pPr>
              <w:rPr>
                <w:rFonts w:ascii="Arial" w:hAnsi="Arial" w:cs="Arial"/>
                <w:color w:val="FFFFFF" w:themeColor="background1"/>
                <w:lang w:val="en-GB"/>
              </w:rPr>
            </w:pPr>
          </w:p>
        </w:tc>
        <w:tc>
          <w:tcPr>
            <w:tcW w:w="691" w:type="dxa"/>
            <w:vMerge/>
            <w:tcBorders>
              <w:top w:val="nil"/>
              <w:left w:val="single" w:sz="4" w:space="0" w:color="auto"/>
              <w:bottom w:val="single" w:sz="8" w:space="0" w:color="000000"/>
              <w:right w:val="single" w:sz="8" w:space="0" w:color="auto"/>
            </w:tcBorders>
            <w:vAlign w:val="center"/>
            <w:hideMark/>
          </w:tcPr>
          <w:p w:rsidR="00A47F18" w:rsidRPr="00F4624C" w:rsidRDefault="00A47F18" w:rsidP="00A43D4C">
            <w:pPr>
              <w:rPr>
                <w:rFonts w:ascii="Arial" w:hAnsi="Arial" w:cs="Arial"/>
                <w:color w:val="FFFFFF" w:themeColor="background1"/>
                <w:lang w:val="en-GB"/>
              </w:rPr>
            </w:pPr>
          </w:p>
        </w:tc>
      </w:tr>
      <w:tr w:rsidR="00A47F18" w:rsidRPr="00F4624C" w:rsidTr="00A43D4C">
        <w:trPr>
          <w:trHeight w:val="300"/>
        </w:trPr>
        <w:tc>
          <w:tcPr>
            <w:tcW w:w="2992" w:type="dxa"/>
            <w:tcBorders>
              <w:top w:val="nil"/>
              <w:left w:val="single" w:sz="8" w:space="0" w:color="auto"/>
              <w:bottom w:val="single" w:sz="8" w:space="0" w:color="auto"/>
              <w:right w:val="single" w:sz="4" w:space="0" w:color="auto"/>
            </w:tcBorders>
            <w:shd w:val="clear" w:color="auto" w:fill="auto"/>
            <w:noWrap/>
            <w:vAlign w:val="bottom"/>
            <w:hideMark/>
          </w:tcPr>
          <w:p w:rsidR="00A47F18" w:rsidRPr="00F4624C" w:rsidRDefault="005B112A" w:rsidP="00A43D4C">
            <w:pPr>
              <w:rPr>
                <w:rFonts w:ascii="Arial" w:hAnsi="Arial" w:cs="Arial"/>
                <w:i/>
                <w:sz w:val="20"/>
                <w:szCs w:val="20"/>
                <w:lang w:val="en-GB"/>
              </w:rPr>
            </w:pPr>
            <w:r w:rsidRPr="00F4624C">
              <w:rPr>
                <w:rFonts w:ascii="Arial" w:hAnsi="Arial" w:cs="Arial"/>
                <w:i/>
                <w:sz w:val="20"/>
                <w:szCs w:val="20"/>
                <w:lang w:val="en-GB"/>
              </w:rPr>
              <w:t>Lithuania</w:t>
            </w:r>
          </w:p>
        </w:tc>
        <w:tc>
          <w:tcPr>
            <w:tcW w:w="5528" w:type="dxa"/>
            <w:gridSpan w:val="7"/>
            <w:tcBorders>
              <w:top w:val="nil"/>
              <w:left w:val="nil"/>
              <w:bottom w:val="single" w:sz="8" w:space="0" w:color="auto"/>
              <w:right w:val="single" w:sz="4" w:space="0" w:color="000000"/>
            </w:tcBorders>
            <w:shd w:val="clear" w:color="auto" w:fill="auto"/>
            <w:noWrap/>
            <w:vAlign w:val="bottom"/>
            <w:hideMark/>
          </w:tcPr>
          <w:p w:rsidR="00A47F18" w:rsidRPr="00F4624C" w:rsidRDefault="00424C14" w:rsidP="00A43D4C">
            <w:pPr>
              <w:jc w:val="center"/>
              <w:rPr>
                <w:rFonts w:ascii="Arial" w:hAnsi="Arial" w:cs="Arial"/>
                <w:color w:val="FFFFFF" w:themeColor="background1"/>
                <w:lang w:val="en-GB"/>
              </w:rPr>
            </w:pPr>
            <w:r w:rsidRPr="00F4624C">
              <w:rPr>
                <w:rFonts w:ascii="Arial" w:eastAsia="Times New Roman" w:hAnsi="Arial" w:cs="Arial"/>
                <w:i/>
                <w:iCs/>
                <w:sz w:val="20"/>
                <w:szCs w:val="20"/>
                <w:lang w:val="en-GB" w:eastAsia="cs-CZ"/>
              </w:rPr>
              <w:t>1 January 2015</w:t>
            </w:r>
          </w:p>
        </w:tc>
        <w:tc>
          <w:tcPr>
            <w:tcW w:w="691" w:type="dxa"/>
            <w:vMerge/>
            <w:tcBorders>
              <w:top w:val="nil"/>
              <w:left w:val="single" w:sz="4" w:space="0" w:color="auto"/>
              <w:bottom w:val="single" w:sz="8" w:space="0" w:color="000000"/>
              <w:right w:val="single" w:sz="8" w:space="0" w:color="auto"/>
            </w:tcBorders>
            <w:vAlign w:val="center"/>
            <w:hideMark/>
          </w:tcPr>
          <w:p w:rsidR="00A47F18" w:rsidRPr="00F4624C" w:rsidRDefault="00A47F18" w:rsidP="00A43D4C">
            <w:pPr>
              <w:rPr>
                <w:rFonts w:ascii="Arial" w:hAnsi="Arial" w:cs="Arial"/>
                <w:color w:val="FFFFFF" w:themeColor="background1"/>
                <w:lang w:val="en-GB"/>
              </w:rPr>
            </w:pPr>
          </w:p>
        </w:tc>
      </w:tr>
    </w:tbl>
    <w:p w:rsidR="009962D2" w:rsidRPr="00F4624C" w:rsidRDefault="009962D2" w:rsidP="00F4624C">
      <w:pPr>
        <w:jc w:val="both"/>
        <w:rPr>
          <w:rFonts w:ascii="Arial" w:hAnsi="Arial" w:cs="Arial"/>
          <w:bCs/>
          <w:i/>
          <w:sz w:val="20"/>
          <w:szCs w:val="20"/>
          <w:lang w:val="en-GB"/>
        </w:rPr>
      </w:pPr>
    </w:p>
    <w:p w:rsidR="009962D2" w:rsidRPr="00F4624C" w:rsidRDefault="006A1C15" w:rsidP="00AE6CE4">
      <w:pPr>
        <w:spacing w:before="120"/>
        <w:ind w:firstLine="709"/>
        <w:jc w:val="both"/>
        <w:rPr>
          <w:rFonts w:ascii="Arial" w:hAnsi="Arial" w:cs="Arial"/>
          <w:bCs/>
          <w:i/>
          <w:sz w:val="20"/>
          <w:szCs w:val="20"/>
          <w:lang w:val="en-GB"/>
        </w:rPr>
      </w:pPr>
      <w:r w:rsidRPr="00F4624C">
        <w:rPr>
          <w:rFonts w:ascii="Arial" w:hAnsi="Arial" w:cs="Arial"/>
          <w:bCs/>
          <w:i/>
          <w:sz w:val="20"/>
          <w:szCs w:val="20"/>
          <w:lang w:val="en-GB"/>
        </w:rPr>
        <w:t xml:space="preserve">Under </w:t>
      </w:r>
      <w:r w:rsidRPr="00F4624C">
        <w:rPr>
          <w:rFonts w:ascii="Arial" w:hAnsi="Arial" w:cs="Arial"/>
          <w:i/>
          <w:sz w:val="20"/>
          <w:szCs w:val="20"/>
          <w:lang w:val="en-GB"/>
        </w:rPr>
        <w:t>“</w:t>
      </w:r>
      <w:r w:rsidRPr="00F4624C">
        <w:rPr>
          <w:rFonts w:ascii="Arial" w:hAnsi="Arial" w:cs="Arial"/>
          <w:b/>
          <w:bCs/>
          <w:i/>
          <w:sz w:val="20"/>
          <w:szCs w:val="20"/>
          <w:lang w:val="en-GB"/>
        </w:rPr>
        <w:t>Other</w:t>
      </w:r>
      <w:r w:rsidRPr="00F4624C">
        <w:rPr>
          <w:rFonts w:ascii="Arial" w:hAnsi="Arial" w:cs="Arial"/>
          <w:i/>
          <w:sz w:val="20"/>
          <w:szCs w:val="20"/>
          <w:lang w:val="en-GB"/>
        </w:rPr>
        <w:t>”</w:t>
      </w:r>
      <w:r w:rsidRPr="00F4624C">
        <w:rPr>
          <w:rFonts w:ascii="Arial" w:hAnsi="Arial" w:cs="Arial"/>
          <w:bCs/>
          <w:i/>
          <w:sz w:val="20"/>
          <w:szCs w:val="20"/>
          <w:lang w:val="en-GB"/>
        </w:rPr>
        <w:t xml:space="preserve"> tables are extended by the EFTA countries, countries wanting to join the EU (Macedonia (the former Yugoslav Republic of) and Turkey), and countries with a mature economy from other continents (Japan, the United States), for which comparable data are available.</w:t>
      </w:r>
    </w:p>
    <w:p w:rsidR="00D33AAD" w:rsidRPr="00F4624C" w:rsidRDefault="00D33AAD" w:rsidP="00D33AAD">
      <w:pPr>
        <w:rPr>
          <w:rFonts w:ascii="Arial" w:hAnsi="Arial" w:cs="Arial"/>
          <w:bCs/>
          <w:i/>
          <w:sz w:val="20"/>
          <w:szCs w:val="20"/>
          <w:lang w:val="en-GB"/>
        </w:rPr>
      </w:pPr>
    </w:p>
    <w:p w:rsidR="00D33AAD" w:rsidRPr="00F4624C" w:rsidRDefault="00D33AAD" w:rsidP="00D33AAD">
      <w:pPr>
        <w:rPr>
          <w:rFonts w:ascii="Arial" w:hAnsi="Arial" w:cs="Arial"/>
          <w:i/>
          <w:iCs/>
          <w:sz w:val="20"/>
          <w:szCs w:val="20"/>
          <w:lang w:val="en-GB"/>
        </w:rPr>
      </w:pPr>
    </w:p>
    <w:p w:rsidR="00CB2ED0" w:rsidRPr="00F4624C" w:rsidRDefault="00CB2ED0" w:rsidP="00D33AAD">
      <w:pPr>
        <w:rPr>
          <w:rFonts w:ascii="Arial" w:hAnsi="Arial" w:cs="Arial"/>
          <w:i/>
          <w:iCs/>
          <w:sz w:val="20"/>
          <w:szCs w:val="20"/>
          <w:lang w:val="en-GB"/>
        </w:rPr>
      </w:pPr>
    </w:p>
    <w:p w:rsidR="00951BDF" w:rsidRPr="00F4624C" w:rsidRDefault="006A1C15" w:rsidP="00E700B9">
      <w:pPr>
        <w:pStyle w:val="Nadpis1"/>
        <w:spacing w:before="0" w:after="0"/>
        <w:rPr>
          <w:i/>
          <w:iCs/>
          <w:sz w:val="20"/>
          <w:szCs w:val="20"/>
          <w:lang w:val="en-GB"/>
        </w:rPr>
      </w:pPr>
      <w:r w:rsidRPr="00F4624C">
        <w:rPr>
          <w:i/>
          <w:iCs/>
          <w:sz w:val="20"/>
          <w:szCs w:val="20"/>
          <w:lang w:val="en-GB"/>
        </w:rPr>
        <w:lastRenderedPageBreak/>
        <w:t>Notes on Tables</w:t>
      </w:r>
    </w:p>
    <w:p w:rsidR="0077412B" w:rsidRPr="00F4624C" w:rsidRDefault="0077412B" w:rsidP="00F4624C">
      <w:pPr>
        <w:keepNext/>
        <w:rPr>
          <w:rFonts w:ascii="Arial" w:hAnsi="Arial" w:cs="Arial"/>
          <w:i/>
          <w:iCs/>
          <w:sz w:val="20"/>
          <w:szCs w:val="20"/>
          <w:lang w:val="en-GB"/>
        </w:rPr>
      </w:pPr>
    </w:p>
    <w:p w:rsidR="0077412B" w:rsidRPr="00F4624C" w:rsidRDefault="0077412B">
      <w:pPr>
        <w:rPr>
          <w:rFonts w:ascii="Arial" w:hAnsi="Arial" w:cs="Arial"/>
          <w:i/>
          <w:iCs/>
          <w:sz w:val="20"/>
          <w:szCs w:val="20"/>
          <w:lang w:val="en-GB"/>
        </w:rPr>
      </w:pPr>
    </w:p>
    <w:p w:rsidR="0077412B" w:rsidRPr="00F4624C" w:rsidRDefault="006A1C15">
      <w:pPr>
        <w:rPr>
          <w:rFonts w:ascii="Arial" w:hAnsi="Arial" w:cs="Arial"/>
          <w:i/>
          <w:iCs/>
          <w:sz w:val="20"/>
          <w:szCs w:val="20"/>
          <w:lang w:val="en-GB"/>
        </w:rPr>
      </w:pPr>
      <w:r w:rsidRPr="00F4624C">
        <w:rPr>
          <w:rFonts w:ascii="Arial" w:hAnsi="Arial" w:cs="Arial"/>
          <w:i/>
          <w:iCs/>
          <w:sz w:val="20"/>
          <w:szCs w:val="20"/>
          <w:lang w:val="en-GB"/>
        </w:rPr>
        <w:t xml:space="preserve">Table </w:t>
      </w:r>
      <w:r w:rsidRPr="00F4624C">
        <w:rPr>
          <w:rFonts w:ascii="Arial" w:hAnsi="Arial" w:cs="Arial"/>
          <w:b/>
          <w:bCs/>
          <w:i/>
          <w:iCs/>
          <w:sz w:val="20"/>
          <w:szCs w:val="20"/>
          <w:lang w:val="en-GB"/>
        </w:rPr>
        <w:t>28</w:t>
      </w:r>
      <w:r w:rsidRPr="00F4624C">
        <w:rPr>
          <w:rFonts w:ascii="Arial" w:hAnsi="Arial" w:cs="Arial"/>
          <w:i/>
          <w:iCs/>
          <w:sz w:val="20"/>
          <w:szCs w:val="20"/>
          <w:lang w:val="en-GB"/>
        </w:rPr>
        <w:t>-1.</w:t>
      </w:r>
      <w:r w:rsidR="009925C9" w:rsidRPr="00F4624C">
        <w:rPr>
          <w:rFonts w:ascii="Arial" w:hAnsi="Arial" w:cs="Arial"/>
          <w:i/>
          <w:iCs/>
          <w:sz w:val="20"/>
          <w:szCs w:val="20"/>
          <w:lang w:val="en-GB"/>
        </w:rPr>
        <w:t xml:space="preserve"> </w:t>
      </w:r>
      <w:r w:rsidR="00BE2422" w:rsidRPr="00F4624C">
        <w:rPr>
          <w:rFonts w:ascii="Arial" w:hAnsi="Arial" w:cs="Arial"/>
          <w:b/>
          <w:i/>
          <w:iCs/>
          <w:sz w:val="20"/>
          <w:szCs w:val="20"/>
          <w:lang w:val="en-GB"/>
        </w:rPr>
        <w:t>Area, population</w:t>
      </w:r>
      <w:r w:rsidRPr="00F4624C">
        <w:rPr>
          <w:rFonts w:ascii="Arial" w:hAnsi="Arial" w:cs="Arial"/>
          <w:b/>
          <w:i/>
          <w:iCs/>
          <w:sz w:val="20"/>
          <w:szCs w:val="20"/>
          <w:lang w:val="en-GB"/>
        </w:rPr>
        <w:t>,</w:t>
      </w:r>
      <w:r w:rsidR="00BE2422" w:rsidRPr="00F4624C">
        <w:rPr>
          <w:rFonts w:ascii="Arial" w:hAnsi="Arial" w:cs="Arial"/>
          <w:b/>
          <w:i/>
          <w:iCs/>
          <w:sz w:val="20"/>
          <w:szCs w:val="20"/>
          <w:lang w:val="en-GB"/>
        </w:rPr>
        <w:t xml:space="preserve"> and population </w:t>
      </w:r>
      <w:r w:rsidR="00AA179C">
        <w:rPr>
          <w:rFonts w:ascii="Arial" w:hAnsi="Arial" w:cs="Arial"/>
          <w:b/>
          <w:i/>
          <w:iCs/>
          <w:sz w:val="20"/>
          <w:szCs w:val="20"/>
          <w:lang w:val="en-GB"/>
        </w:rPr>
        <w:t>increase/decrease in 2013</w:t>
      </w:r>
    </w:p>
    <w:p w:rsidR="0077412B" w:rsidRPr="00F4624C" w:rsidRDefault="00BE2422">
      <w:pPr>
        <w:spacing w:before="120"/>
        <w:ind w:firstLine="709"/>
        <w:jc w:val="both"/>
        <w:rPr>
          <w:rFonts w:ascii="Arial" w:hAnsi="Arial" w:cs="Arial"/>
          <w:i/>
          <w:sz w:val="20"/>
          <w:szCs w:val="20"/>
          <w:lang w:val="en-GB"/>
        </w:rPr>
      </w:pPr>
      <w:r w:rsidRPr="00F4624C">
        <w:rPr>
          <w:rFonts w:ascii="Arial" w:hAnsi="Arial" w:cs="Arial"/>
          <w:i/>
          <w:iCs/>
          <w:sz w:val="20"/>
          <w:szCs w:val="20"/>
          <w:lang w:val="en-GB"/>
        </w:rPr>
        <w:t>The</w:t>
      </w:r>
      <w:r w:rsidR="00CF085D">
        <w:rPr>
          <w:rFonts w:ascii="Arial" w:hAnsi="Arial" w:cs="Arial"/>
          <w:i/>
          <w:iCs/>
          <w:sz w:val="20"/>
          <w:szCs w:val="20"/>
          <w:lang w:val="en-GB"/>
        </w:rPr>
        <w:t> </w:t>
      </w:r>
      <w:r w:rsidRPr="00F4624C">
        <w:rPr>
          <w:rFonts w:ascii="Arial" w:hAnsi="Arial" w:cs="Arial"/>
          <w:i/>
          <w:iCs/>
          <w:sz w:val="20"/>
          <w:szCs w:val="20"/>
          <w:lang w:val="en-GB"/>
        </w:rPr>
        <w:t>total area is including inland waters; it is expressed in km</w:t>
      </w:r>
      <w:r w:rsidRPr="00F4624C">
        <w:rPr>
          <w:rFonts w:ascii="Arial" w:hAnsi="Arial" w:cs="Arial"/>
          <w:i/>
          <w:iCs/>
          <w:sz w:val="20"/>
          <w:szCs w:val="20"/>
          <w:vertAlign w:val="superscript"/>
          <w:lang w:val="en-GB"/>
        </w:rPr>
        <w:t>2</w:t>
      </w:r>
      <w:r w:rsidRPr="00F4624C">
        <w:rPr>
          <w:rFonts w:ascii="Arial" w:hAnsi="Arial" w:cs="Arial"/>
          <w:i/>
          <w:iCs/>
          <w:sz w:val="20"/>
          <w:szCs w:val="20"/>
          <w:lang w:val="en-GB"/>
        </w:rPr>
        <w:t>.</w:t>
      </w:r>
      <w:r w:rsidRPr="00F4624C">
        <w:rPr>
          <w:rFonts w:ascii="Arial" w:hAnsi="Arial" w:cs="Arial"/>
          <w:i/>
          <w:sz w:val="20"/>
          <w:szCs w:val="20"/>
          <w:lang w:val="en-GB"/>
        </w:rPr>
        <w:t xml:space="preserve"> </w:t>
      </w:r>
      <w:r w:rsidR="007D63F9">
        <w:rPr>
          <w:rFonts w:ascii="Arial" w:hAnsi="Arial" w:cs="Arial"/>
          <w:i/>
          <w:sz w:val="20"/>
          <w:szCs w:val="20"/>
          <w:lang w:val="en-GB"/>
        </w:rPr>
        <w:t>The </w:t>
      </w:r>
      <w:r w:rsidRPr="00F4624C">
        <w:rPr>
          <w:rFonts w:ascii="Arial" w:hAnsi="Arial" w:cs="Arial"/>
          <w:i/>
          <w:sz w:val="20"/>
          <w:szCs w:val="20"/>
          <w:lang w:val="en-GB"/>
        </w:rPr>
        <w:t>average population is calculated as</w:t>
      </w:r>
      <w:r w:rsidR="007D63F9">
        <w:rPr>
          <w:rFonts w:ascii="Arial" w:hAnsi="Arial" w:cs="Arial"/>
          <w:i/>
          <w:sz w:val="20"/>
          <w:szCs w:val="20"/>
          <w:lang w:val="en-GB"/>
        </w:rPr>
        <w:t xml:space="preserve"> the </w:t>
      </w:r>
      <w:r w:rsidRPr="00F4624C">
        <w:rPr>
          <w:rFonts w:ascii="Arial" w:hAnsi="Arial" w:cs="Arial"/>
          <w:i/>
          <w:sz w:val="20"/>
          <w:szCs w:val="20"/>
          <w:lang w:val="en-GB"/>
        </w:rPr>
        <w:t>arithmetic mean of</w:t>
      </w:r>
      <w:r w:rsidR="007D63F9">
        <w:rPr>
          <w:rFonts w:ascii="Arial" w:hAnsi="Arial" w:cs="Arial"/>
          <w:i/>
          <w:sz w:val="20"/>
          <w:szCs w:val="20"/>
          <w:lang w:val="en-GB"/>
        </w:rPr>
        <w:t xml:space="preserve"> the </w:t>
      </w:r>
      <w:r w:rsidR="00B76D26">
        <w:rPr>
          <w:rFonts w:ascii="Arial" w:hAnsi="Arial" w:cs="Arial"/>
          <w:i/>
          <w:sz w:val="20"/>
          <w:szCs w:val="20"/>
          <w:lang w:val="en-GB"/>
        </w:rPr>
        <w:t>population on </w:t>
      </w:r>
      <w:r w:rsidRPr="00F4624C">
        <w:rPr>
          <w:rFonts w:ascii="Arial" w:hAnsi="Arial" w:cs="Arial"/>
          <w:i/>
          <w:sz w:val="20"/>
          <w:szCs w:val="20"/>
          <w:lang w:val="en-GB"/>
        </w:rPr>
        <w:t>1</w:t>
      </w:r>
      <w:r w:rsidR="00B76D26">
        <w:rPr>
          <w:rFonts w:ascii="Arial" w:hAnsi="Arial" w:cs="Arial"/>
          <w:i/>
          <w:sz w:val="20"/>
          <w:szCs w:val="20"/>
          <w:lang w:val="en-GB"/>
        </w:rPr>
        <w:t> </w:t>
      </w:r>
      <w:r w:rsidRPr="00F4624C">
        <w:rPr>
          <w:rFonts w:ascii="Arial" w:hAnsi="Arial" w:cs="Arial"/>
          <w:i/>
          <w:sz w:val="20"/>
          <w:szCs w:val="20"/>
          <w:lang w:val="en-GB"/>
        </w:rPr>
        <w:t>Ja</w:t>
      </w:r>
      <w:r w:rsidR="00CF085D">
        <w:rPr>
          <w:rFonts w:ascii="Arial" w:hAnsi="Arial" w:cs="Arial"/>
          <w:i/>
          <w:sz w:val="20"/>
          <w:szCs w:val="20"/>
          <w:lang w:val="en-GB"/>
        </w:rPr>
        <w:t>nuary of two consecutive years.</w:t>
      </w:r>
    </w:p>
    <w:p w:rsidR="0077412B" w:rsidRPr="00F4624C" w:rsidRDefault="00BE2422" w:rsidP="00B76D26">
      <w:pPr>
        <w:spacing w:before="120"/>
        <w:ind w:firstLine="709"/>
        <w:jc w:val="both"/>
        <w:rPr>
          <w:rFonts w:ascii="Arial" w:hAnsi="Arial" w:cs="Arial"/>
          <w:i/>
          <w:iCs/>
          <w:sz w:val="20"/>
          <w:szCs w:val="20"/>
          <w:lang w:val="en-GB"/>
        </w:rPr>
      </w:pPr>
      <w:r w:rsidRPr="00F4624C">
        <w:rPr>
          <w:rFonts w:ascii="Arial" w:hAnsi="Arial" w:cs="Arial"/>
          <w:i/>
          <w:sz w:val="20"/>
          <w:szCs w:val="20"/>
          <w:lang w:val="en-GB"/>
        </w:rPr>
        <w:t>The</w:t>
      </w:r>
      <w:r w:rsidR="00CF085D">
        <w:rPr>
          <w:rFonts w:ascii="Arial" w:hAnsi="Arial" w:cs="Arial"/>
          <w:i/>
          <w:sz w:val="20"/>
          <w:szCs w:val="20"/>
          <w:lang w:val="en-GB"/>
        </w:rPr>
        <w:t> </w:t>
      </w:r>
      <w:r w:rsidR="00E7431B">
        <w:rPr>
          <w:rFonts w:ascii="Arial" w:hAnsi="Arial" w:cs="Arial"/>
          <w:i/>
          <w:sz w:val="20"/>
          <w:szCs w:val="20"/>
          <w:lang w:val="en-GB"/>
        </w:rPr>
        <w:t>natural increase/decrease per 1 </w:t>
      </w:r>
      <w:r w:rsidRPr="00F4624C">
        <w:rPr>
          <w:rFonts w:ascii="Arial" w:hAnsi="Arial" w:cs="Arial"/>
          <w:i/>
          <w:sz w:val="20"/>
          <w:szCs w:val="20"/>
          <w:lang w:val="en-GB"/>
        </w:rPr>
        <w:t>000 population</w:t>
      </w:r>
      <w:r w:rsidRPr="00F4624C">
        <w:rPr>
          <w:rFonts w:ascii="Arial" w:hAnsi="Arial" w:cs="Arial"/>
          <w:i/>
          <w:iCs/>
          <w:sz w:val="20"/>
          <w:szCs w:val="20"/>
          <w:lang w:val="en-GB"/>
        </w:rPr>
        <w:t xml:space="preserve"> </w:t>
      </w:r>
      <w:r w:rsidRPr="00F4624C">
        <w:rPr>
          <w:rFonts w:ascii="Arial" w:hAnsi="Arial" w:cs="Arial"/>
          <w:i/>
          <w:sz w:val="20"/>
          <w:szCs w:val="20"/>
          <w:lang w:val="en-GB"/>
        </w:rPr>
        <w:t>is</w:t>
      </w:r>
      <w:r w:rsidR="007D63F9">
        <w:rPr>
          <w:rFonts w:ascii="Arial" w:hAnsi="Arial" w:cs="Arial"/>
          <w:i/>
          <w:sz w:val="20"/>
          <w:szCs w:val="20"/>
          <w:lang w:val="en-GB"/>
        </w:rPr>
        <w:t xml:space="preserve"> the </w:t>
      </w:r>
      <w:r w:rsidRPr="00F4624C">
        <w:rPr>
          <w:rFonts w:ascii="Arial" w:hAnsi="Arial" w:cs="Arial"/>
          <w:i/>
          <w:sz w:val="20"/>
          <w:szCs w:val="20"/>
          <w:lang w:val="en-GB"/>
        </w:rPr>
        <w:t>ratio of</w:t>
      </w:r>
      <w:r w:rsidR="007D63F9">
        <w:rPr>
          <w:rFonts w:ascii="Arial" w:hAnsi="Arial" w:cs="Arial"/>
          <w:i/>
          <w:sz w:val="20"/>
          <w:szCs w:val="20"/>
          <w:lang w:val="en-GB"/>
        </w:rPr>
        <w:t xml:space="preserve"> the </w:t>
      </w:r>
      <w:r w:rsidRPr="00F4624C">
        <w:rPr>
          <w:rFonts w:ascii="Arial" w:hAnsi="Arial" w:cs="Arial"/>
          <w:i/>
          <w:sz w:val="20"/>
          <w:szCs w:val="20"/>
          <w:lang w:val="en-GB"/>
        </w:rPr>
        <w:t>natural increase/decrease during</w:t>
      </w:r>
      <w:r w:rsidR="007D63F9">
        <w:rPr>
          <w:rFonts w:ascii="Arial" w:hAnsi="Arial" w:cs="Arial"/>
          <w:i/>
          <w:sz w:val="20"/>
          <w:szCs w:val="20"/>
          <w:lang w:val="en-GB"/>
        </w:rPr>
        <w:t xml:space="preserve"> the </w:t>
      </w:r>
      <w:r w:rsidRPr="00F4624C">
        <w:rPr>
          <w:rFonts w:ascii="Arial" w:hAnsi="Arial" w:cs="Arial"/>
          <w:i/>
          <w:sz w:val="20"/>
          <w:szCs w:val="20"/>
          <w:lang w:val="en-GB"/>
        </w:rPr>
        <w:t>year (live births minus deaths) to</w:t>
      </w:r>
      <w:r w:rsidR="007D63F9">
        <w:rPr>
          <w:rFonts w:ascii="Arial" w:hAnsi="Arial" w:cs="Arial"/>
          <w:i/>
          <w:sz w:val="20"/>
          <w:szCs w:val="20"/>
          <w:lang w:val="en-GB"/>
        </w:rPr>
        <w:t xml:space="preserve"> the </w:t>
      </w:r>
      <w:r w:rsidRPr="00F4624C">
        <w:rPr>
          <w:rFonts w:ascii="Arial" w:hAnsi="Arial" w:cs="Arial"/>
          <w:i/>
          <w:sz w:val="20"/>
          <w:szCs w:val="20"/>
          <w:lang w:val="en-GB"/>
        </w:rPr>
        <w:t>average population in that year.</w:t>
      </w:r>
      <w:r w:rsidR="005536EE" w:rsidRPr="00F4624C">
        <w:rPr>
          <w:rFonts w:ascii="Arial" w:hAnsi="Arial" w:cs="Arial"/>
          <w:i/>
          <w:iCs/>
          <w:sz w:val="20"/>
          <w:szCs w:val="20"/>
          <w:lang w:val="en-GB"/>
        </w:rPr>
        <w:t xml:space="preserve"> Total population increase/decrease per 1 000 population is</w:t>
      </w:r>
      <w:r w:rsidR="007D63F9">
        <w:rPr>
          <w:rFonts w:ascii="Arial" w:hAnsi="Arial" w:cs="Arial"/>
          <w:i/>
          <w:iCs/>
          <w:sz w:val="20"/>
          <w:szCs w:val="20"/>
          <w:lang w:val="en-GB"/>
        </w:rPr>
        <w:t xml:space="preserve"> the </w:t>
      </w:r>
      <w:r w:rsidR="005536EE" w:rsidRPr="00F4624C">
        <w:rPr>
          <w:rFonts w:ascii="Arial" w:hAnsi="Arial" w:cs="Arial"/>
          <w:i/>
          <w:iCs/>
          <w:sz w:val="20"/>
          <w:szCs w:val="20"/>
          <w:lang w:val="en-GB"/>
        </w:rPr>
        <w:t>ratio of</w:t>
      </w:r>
      <w:r w:rsidR="007D63F9">
        <w:rPr>
          <w:rFonts w:ascii="Arial" w:hAnsi="Arial" w:cs="Arial"/>
          <w:i/>
          <w:iCs/>
          <w:sz w:val="20"/>
          <w:szCs w:val="20"/>
          <w:lang w:val="en-GB"/>
        </w:rPr>
        <w:t xml:space="preserve"> the </w:t>
      </w:r>
      <w:r w:rsidR="005536EE" w:rsidRPr="00F4624C">
        <w:rPr>
          <w:rFonts w:ascii="Arial" w:hAnsi="Arial" w:cs="Arial"/>
          <w:i/>
          <w:iCs/>
          <w:sz w:val="20"/>
          <w:szCs w:val="20"/>
          <w:lang w:val="en-GB"/>
        </w:rPr>
        <w:t>population increase/decrease during</w:t>
      </w:r>
      <w:r w:rsidR="007D63F9">
        <w:rPr>
          <w:rFonts w:ascii="Arial" w:hAnsi="Arial" w:cs="Arial"/>
          <w:i/>
          <w:iCs/>
          <w:sz w:val="20"/>
          <w:szCs w:val="20"/>
          <w:lang w:val="en-GB"/>
        </w:rPr>
        <w:t xml:space="preserve"> the </w:t>
      </w:r>
      <w:r w:rsidR="005536EE" w:rsidRPr="00F4624C">
        <w:rPr>
          <w:rFonts w:ascii="Arial" w:hAnsi="Arial" w:cs="Arial"/>
          <w:i/>
          <w:iCs/>
          <w:sz w:val="20"/>
          <w:szCs w:val="20"/>
          <w:lang w:val="en-GB"/>
        </w:rPr>
        <w:t>year to</w:t>
      </w:r>
      <w:r w:rsidR="007D63F9">
        <w:rPr>
          <w:rFonts w:ascii="Arial" w:hAnsi="Arial" w:cs="Arial"/>
          <w:i/>
          <w:iCs/>
          <w:sz w:val="20"/>
          <w:szCs w:val="20"/>
          <w:lang w:val="en-GB"/>
        </w:rPr>
        <w:t xml:space="preserve"> the </w:t>
      </w:r>
      <w:r w:rsidR="005536EE" w:rsidRPr="00F4624C">
        <w:rPr>
          <w:rFonts w:ascii="Arial" w:hAnsi="Arial" w:cs="Arial"/>
          <w:i/>
          <w:iCs/>
          <w:sz w:val="20"/>
          <w:szCs w:val="20"/>
          <w:lang w:val="en-GB"/>
        </w:rPr>
        <w:t>average population in that year.</w:t>
      </w:r>
    </w:p>
    <w:p w:rsidR="0077412B" w:rsidRDefault="0077412B" w:rsidP="00B76D26">
      <w:pPr>
        <w:jc w:val="both"/>
        <w:rPr>
          <w:rFonts w:ascii="Arial" w:hAnsi="Arial" w:cs="Arial"/>
          <w:i/>
          <w:iCs/>
          <w:sz w:val="20"/>
          <w:szCs w:val="20"/>
          <w:lang w:val="en-GB"/>
        </w:rPr>
      </w:pPr>
    </w:p>
    <w:p w:rsidR="00B76D26" w:rsidRPr="00F4624C" w:rsidRDefault="00B76D26" w:rsidP="00B76D26">
      <w:pPr>
        <w:jc w:val="both"/>
        <w:rPr>
          <w:rFonts w:ascii="Arial" w:hAnsi="Arial" w:cs="Arial"/>
          <w:i/>
          <w:iCs/>
          <w:sz w:val="20"/>
          <w:szCs w:val="20"/>
          <w:lang w:val="en-GB"/>
        </w:rPr>
      </w:pPr>
    </w:p>
    <w:p w:rsidR="0077412B" w:rsidRPr="00CF085D" w:rsidRDefault="006A1C15">
      <w:pPr>
        <w:rPr>
          <w:rFonts w:ascii="Arial" w:hAnsi="Arial" w:cs="Arial"/>
          <w:bCs/>
          <w:i/>
          <w:iCs/>
          <w:sz w:val="20"/>
          <w:szCs w:val="20"/>
          <w:lang w:val="en-GB"/>
        </w:rPr>
      </w:pPr>
      <w:r w:rsidRPr="00F4624C">
        <w:rPr>
          <w:rFonts w:ascii="Arial" w:hAnsi="Arial" w:cs="Arial"/>
          <w:i/>
          <w:iCs/>
          <w:sz w:val="20"/>
          <w:szCs w:val="20"/>
          <w:lang w:val="en-GB"/>
        </w:rPr>
        <w:t xml:space="preserve">Table </w:t>
      </w:r>
      <w:r w:rsidRPr="00F4624C">
        <w:rPr>
          <w:rFonts w:ascii="Arial" w:hAnsi="Arial" w:cs="Arial"/>
          <w:b/>
          <w:bCs/>
          <w:i/>
          <w:iCs/>
          <w:sz w:val="20"/>
          <w:szCs w:val="20"/>
          <w:lang w:val="en-GB"/>
        </w:rPr>
        <w:t>28</w:t>
      </w:r>
      <w:r w:rsidRPr="00F4624C">
        <w:rPr>
          <w:rFonts w:ascii="Arial" w:hAnsi="Arial" w:cs="Arial"/>
          <w:i/>
          <w:iCs/>
          <w:sz w:val="20"/>
          <w:szCs w:val="20"/>
          <w:lang w:val="en-GB"/>
        </w:rPr>
        <w:t xml:space="preserve">-2. </w:t>
      </w:r>
      <w:r w:rsidRPr="00F4624C">
        <w:rPr>
          <w:rFonts w:ascii="Arial" w:hAnsi="Arial" w:cs="Arial"/>
          <w:b/>
          <w:bCs/>
          <w:i/>
          <w:iCs/>
          <w:sz w:val="20"/>
          <w:szCs w:val="20"/>
          <w:lang w:val="en-GB"/>
        </w:rPr>
        <w:t>GDP per capita in Purchasing Power Standards (PPS)</w:t>
      </w:r>
    </w:p>
    <w:p w:rsidR="009962D2" w:rsidRPr="00F4624C" w:rsidRDefault="006A1C15">
      <w:pPr>
        <w:spacing w:before="120"/>
        <w:ind w:firstLine="709"/>
        <w:jc w:val="both"/>
        <w:rPr>
          <w:rFonts w:ascii="Arial" w:hAnsi="Arial" w:cs="Arial"/>
          <w:i/>
          <w:iCs/>
          <w:sz w:val="20"/>
          <w:szCs w:val="20"/>
          <w:lang w:val="en-GB"/>
        </w:rPr>
      </w:pPr>
      <w:r w:rsidRPr="00F4624C">
        <w:rPr>
          <w:rFonts w:ascii="Arial" w:hAnsi="Arial" w:cs="Arial"/>
          <w:i/>
          <w:sz w:val="20"/>
          <w:szCs w:val="20"/>
          <w:lang w:val="en-GB"/>
        </w:rPr>
        <w:t>Gross domestic product (GDP) is a measure for the economic activity. It is defined as the value of all goods and services produced less the value of any goods or services used in their creation. The </w:t>
      </w:r>
      <w:r w:rsidR="00DC760B" w:rsidRPr="00F4624C">
        <w:rPr>
          <w:rFonts w:ascii="Arial" w:hAnsi="Arial" w:cs="Arial"/>
          <w:i/>
          <w:sz w:val="20"/>
          <w:szCs w:val="20"/>
          <w:lang w:val="en-GB"/>
        </w:rPr>
        <w:t>volume index of GDP per capita in Purchasing Power Standards (PPS) is expressed in relation to the European Union (EU28) average set to equal 100. If the index of a country is higher than 100, this country’s level of GDP per head is higher than the EU average and vice versa. Basic figures are expressed in PPS, i.e. a common currency that eliminates the differences in price levels between count</w:t>
      </w:r>
      <w:r w:rsidR="00424C14" w:rsidRPr="00F4624C">
        <w:rPr>
          <w:rFonts w:ascii="Arial" w:hAnsi="Arial" w:cs="Arial"/>
          <w:i/>
          <w:sz w:val="20"/>
          <w:szCs w:val="20"/>
          <w:lang w:val="en-GB"/>
        </w:rPr>
        <w:t>ries allowing meaningful volume comparisons of GDP between countries. Please no</w:t>
      </w:r>
      <w:r w:rsidR="006F0962" w:rsidRPr="00F4624C">
        <w:rPr>
          <w:rFonts w:ascii="Arial" w:hAnsi="Arial" w:cs="Arial"/>
          <w:i/>
          <w:sz w:val="20"/>
          <w:szCs w:val="20"/>
          <w:lang w:val="en-GB"/>
        </w:rPr>
        <w:t>te that the index is intended for cross-country comparisons rather than for temporal comparisons.</w:t>
      </w:r>
    </w:p>
    <w:p w:rsidR="00951BDF" w:rsidRPr="00F4624C" w:rsidRDefault="00951BDF" w:rsidP="00E700B9">
      <w:pPr>
        <w:rPr>
          <w:rFonts w:ascii="Arial" w:hAnsi="Arial" w:cs="Arial"/>
          <w:i/>
          <w:iCs/>
          <w:sz w:val="20"/>
          <w:szCs w:val="20"/>
          <w:lang w:val="en-GB"/>
        </w:rPr>
      </w:pPr>
    </w:p>
    <w:p w:rsidR="00BB7189" w:rsidRPr="00F4624C" w:rsidRDefault="00BB7189" w:rsidP="00BB7189">
      <w:pPr>
        <w:rPr>
          <w:rFonts w:ascii="Arial" w:hAnsi="Arial" w:cs="Arial"/>
          <w:i/>
          <w:iCs/>
          <w:sz w:val="20"/>
          <w:szCs w:val="20"/>
          <w:lang w:val="en-GB"/>
        </w:rPr>
      </w:pPr>
    </w:p>
    <w:p w:rsidR="00BB7189" w:rsidRPr="00CF085D" w:rsidRDefault="006A1C15" w:rsidP="00BE19BC">
      <w:pPr>
        <w:rPr>
          <w:rFonts w:ascii="Arial" w:hAnsi="Arial" w:cs="Arial"/>
          <w:i/>
          <w:color w:val="000000"/>
          <w:sz w:val="20"/>
          <w:szCs w:val="20"/>
          <w:lang w:val="en-GB"/>
        </w:rPr>
      </w:pPr>
      <w:r w:rsidRPr="00F4624C">
        <w:rPr>
          <w:rFonts w:ascii="Arial" w:hAnsi="Arial" w:cs="Arial"/>
          <w:i/>
          <w:iCs/>
          <w:sz w:val="20"/>
          <w:szCs w:val="20"/>
          <w:lang w:val="en-GB"/>
        </w:rPr>
        <w:t xml:space="preserve">Table </w:t>
      </w:r>
      <w:r w:rsidRPr="00F4624C">
        <w:rPr>
          <w:rFonts w:ascii="Arial" w:hAnsi="Arial" w:cs="Arial"/>
          <w:b/>
          <w:i/>
          <w:iCs/>
          <w:sz w:val="20"/>
          <w:szCs w:val="20"/>
          <w:lang w:val="en-GB"/>
        </w:rPr>
        <w:t>28</w:t>
      </w:r>
      <w:r w:rsidRPr="00F4624C">
        <w:rPr>
          <w:rFonts w:ascii="Arial" w:hAnsi="Arial" w:cs="Arial"/>
          <w:i/>
          <w:iCs/>
          <w:sz w:val="20"/>
          <w:szCs w:val="20"/>
          <w:lang w:val="en-GB"/>
        </w:rPr>
        <w:t xml:space="preserve">-3. </w:t>
      </w:r>
      <w:r w:rsidRPr="00F4624C">
        <w:rPr>
          <w:rFonts w:ascii="Arial" w:hAnsi="Arial" w:cs="Arial"/>
          <w:b/>
          <w:i/>
          <w:color w:val="000000"/>
          <w:sz w:val="20"/>
          <w:szCs w:val="20"/>
          <w:lang w:val="en-GB"/>
        </w:rPr>
        <w:t>Real GDP growth rate</w:t>
      </w:r>
    </w:p>
    <w:p w:rsidR="009962D2" w:rsidRPr="00F4624C" w:rsidRDefault="006A1C15">
      <w:pPr>
        <w:spacing w:before="120"/>
        <w:ind w:firstLine="709"/>
        <w:jc w:val="both"/>
        <w:rPr>
          <w:rFonts w:ascii="Arial" w:hAnsi="Arial" w:cs="Arial"/>
          <w:i/>
          <w:iCs/>
          <w:sz w:val="20"/>
          <w:szCs w:val="20"/>
          <w:lang w:val="en-GB"/>
        </w:rPr>
      </w:pPr>
      <w:r w:rsidRPr="00F4624C">
        <w:rPr>
          <w:rFonts w:ascii="Arial" w:hAnsi="Arial" w:cs="Arial"/>
          <w:i/>
          <w:iCs/>
          <w:sz w:val="20"/>
          <w:szCs w:val="20"/>
          <w:lang w:val="en-GB"/>
        </w:rPr>
        <w:t>The calculation of the annual growth rate of GDP volume is intended to allow comparisons of the dynamics of economic development both over time and between economies of different sizes. For measuring the growth rate of GDP in terms of volumes, the GDP at current prices are valued in the prices of the previous year and the thus computed volume changes are imposed on the level of a reference year; this is called a chain-linked series. Accordingly, price movements will not inflate the growth rate.</w:t>
      </w:r>
    </w:p>
    <w:p w:rsidR="00BB7189" w:rsidRPr="00F4624C" w:rsidRDefault="00BB7189" w:rsidP="00BB7189">
      <w:pPr>
        <w:rPr>
          <w:rFonts w:ascii="Arial" w:hAnsi="Arial" w:cs="Arial"/>
          <w:i/>
          <w:iCs/>
          <w:sz w:val="20"/>
          <w:szCs w:val="20"/>
          <w:lang w:val="en-GB"/>
        </w:rPr>
      </w:pPr>
    </w:p>
    <w:p w:rsidR="00BB7189" w:rsidRPr="00F4624C" w:rsidRDefault="00BB7189" w:rsidP="00BB7189">
      <w:pPr>
        <w:rPr>
          <w:rFonts w:ascii="Arial" w:hAnsi="Arial" w:cs="Arial"/>
          <w:i/>
          <w:iCs/>
          <w:sz w:val="20"/>
          <w:szCs w:val="20"/>
          <w:lang w:val="en-GB"/>
        </w:rPr>
      </w:pPr>
    </w:p>
    <w:p w:rsidR="00951BDF" w:rsidRPr="00F4624C" w:rsidRDefault="006A1C15" w:rsidP="00BB7189">
      <w:pPr>
        <w:rPr>
          <w:rFonts w:ascii="Arial" w:hAnsi="Arial" w:cs="Arial"/>
          <w:i/>
          <w:iCs/>
          <w:sz w:val="20"/>
          <w:szCs w:val="20"/>
          <w:lang w:val="en-GB"/>
        </w:rPr>
      </w:pPr>
      <w:r w:rsidRPr="00F4624C">
        <w:rPr>
          <w:rFonts w:ascii="Arial" w:hAnsi="Arial" w:cs="Arial"/>
          <w:i/>
          <w:iCs/>
          <w:sz w:val="20"/>
          <w:szCs w:val="20"/>
          <w:lang w:val="en-GB"/>
        </w:rPr>
        <w:t xml:space="preserve">Table </w:t>
      </w:r>
      <w:r w:rsidRPr="00F4624C">
        <w:rPr>
          <w:rFonts w:ascii="Arial" w:hAnsi="Arial" w:cs="Arial"/>
          <w:b/>
          <w:bCs/>
          <w:i/>
          <w:iCs/>
          <w:sz w:val="20"/>
          <w:szCs w:val="20"/>
          <w:lang w:val="en-GB"/>
        </w:rPr>
        <w:t>28</w:t>
      </w:r>
      <w:r w:rsidRPr="00F4624C">
        <w:rPr>
          <w:rFonts w:ascii="Arial" w:hAnsi="Arial" w:cs="Arial"/>
          <w:i/>
          <w:iCs/>
          <w:sz w:val="20"/>
          <w:szCs w:val="20"/>
          <w:lang w:val="en-GB"/>
        </w:rPr>
        <w:t xml:space="preserve">-4. </w:t>
      </w:r>
      <w:r w:rsidRPr="00F4624C">
        <w:rPr>
          <w:rFonts w:ascii="Arial" w:hAnsi="Arial" w:cs="Arial"/>
          <w:b/>
          <w:bCs/>
          <w:i/>
          <w:iCs/>
          <w:sz w:val="20"/>
          <w:szCs w:val="20"/>
          <w:lang w:val="en-GB"/>
        </w:rPr>
        <w:t>Labour productivity per person employed</w:t>
      </w:r>
    </w:p>
    <w:p w:rsidR="009962D2" w:rsidRPr="00F4624C" w:rsidRDefault="00BE2422">
      <w:pPr>
        <w:autoSpaceDE w:val="0"/>
        <w:autoSpaceDN w:val="0"/>
        <w:adjustRightInd w:val="0"/>
        <w:spacing w:before="120"/>
        <w:ind w:firstLine="709"/>
        <w:jc w:val="both"/>
        <w:rPr>
          <w:rFonts w:ascii="Arial" w:hAnsi="Arial" w:cs="Arial"/>
          <w:i/>
          <w:iCs/>
          <w:sz w:val="20"/>
          <w:szCs w:val="20"/>
          <w:lang w:val="en-GB"/>
        </w:rPr>
      </w:pPr>
      <w:r w:rsidRPr="00F4624C">
        <w:rPr>
          <w:rFonts w:ascii="Arial" w:eastAsia="Times New Roman" w:hAnsi="Arial" w:cs="Arial"/>
          <w:i/>
          <w:sz w:val="20"/>
          <w:szCs w:val="20"/>
          <w:lang w:val="en-GB" w:eastAsia="cs-CZ"/>
        </w:rPr>
        <w:t>Labour productivity is measured as</w:t>
      </w:r>
      <w:r w:rsidR="007D63F9">
        <w:rPr>
          <w:rFonts w:ascii="Arial" w:eastAsia="Times New Roman" w:hAnsi="Arial" w:cs="Arial"/>
          <w:i/>
          <w:sz w:val="20"/>
          <w:szCs w:val="20"/>
          <w:lang w:val="en-GB" w:eastAsia="cs-CZ"/>
        </w:rPr>
        <w:t xml:space="preserve"> a </w:t>
      </w:r>
      <w:r w:rsidRPr="00F4624C">
        <w:rPr>
          <w:rFonts w:ascii="Arial" w:eastAsia="Times New Roman" w:hAnsi="Arial" w:cs="Arial"/>
          <w:i/>
          <w:sz w:val="20"/>
          <w:szCs w:val="20"/>
          <w:lang w:val="en-GB" w:eastAsia="cs-CZ"/>
        </w:rPr>
        <w:t>ratio of GDP (in PPS) per person employed.</w:t>
      </w:r>
      <w:r w:rsidR="006A1C15" w:rsidRPr="00F4624C">
        <w:rPr>
          <w:rFonts w:ascii="Arial" w:hAnsi="Arial" w:cs="Arial"/>
          <w:i/>
          <w:iCs/>
          <w:sz w:val="20"/>
          <w:szCs w:val="20"/>
          <w:lang w:val="en-GB"/>
        </w:rPr>
        <w:t xml:space="preserve"> “Persons employed” does not distinguish between full-time and part-time employment.</w:t>
      </w:r>
    </w:p>
    <w:p w:rsidR="00951BDF" w:rsidRPr="00F4624C" w:rsidRDefault="00951BDF" w:rsidP="00E700B9">
      <w:pPr>
        <w:autoSpaceDE w:val="0"/>
        <w:autoSpaceDN w:val="0"/>
        <w:adjustRightInd w:val="0"/>
        <w:rPr>
          <w:rFonts w:ascii="Arial" w:hAnsi="Arial" w:cs="Arial"/>
          <w:i/>
          <w:iCs/>
          <w:sz w:val="20"/>
          <w:szCs w:val="20"/>
          <w:lang w:val="en-GB"/>
        </w:rPr>
      </w:pPr>
    </w:p>
    <w:p w:rsidR="00951BDF" w:rsidRPr="00F4624C" w:rsidRDefault="00951BDF" w:rsidP="00E700B9">
      <w:pPr>
        <w:widowControl w:val="0"/>
        <w:autoSpaceDE w:val="0"/>
        <w:autoSpaceDN w:val="0"/>
        <w:adjustRightInd w:val="0"/>
        <w:rPr>
          <w:rFonts w:ascii="Arial" w:hAnsi="Arial" w:cs="Arial"/>
          <w:i/>
          <w:iCs/>
          <w:sz w:val="20"/>
          <w:szCs w:val="20"/>
          <w:lang w:val="en-GB"/>
        </w:rPr>
      </w:pPr>
    </w:p>
    <w:p w:rsidR="0075413A" w:rsidRPr="00CF085D" w:rsidRDefault="006A1C15" w:rsidP="00FD5C68">
      <w:pPr>
        <w:autoSpaceDE w:val="0"/>
        <w:autoSpaceDN w:val="0"/>
        <w:adjustRightInd w:val="0"/>
        <w:rPr>
          <w:rFonts w:ascii="Arial" w:hAnsi="Arial" w:cs="Arial"/>
          <w:i/>
          <w:sz w:val="20"/>
          <w:szCs w:val="20"/>
          <w:lang w:val="en-GB"/>
        </w:rPr>
      </w:pPr>
      <w:r w:rsidRPr="00F4624C">
        <w:rPr>
          <w:rFonts w:ascii="Arial" w:hAnsi="Arial" w:cs="Arial"/>
          <w:i/>
          <w:iCs/>
          <w:sz w:val="20"/>
          <w:szCs w:val="20"/>
          <w:lang w:val="en-GB"/>
        </w:rPr>
        <w:t xml:space="preserve">Table </w:t>
      </w:r>
      <w:r w:rsidRPr="00F4624C">
        <w:rPr>
          <w:rFonts w:ascii="Arial" w:hAnsi="Arial" w:cs="Arial"/>
          <w:b/>
          <w:i/>
          <w:sz w:val="20"/>
          <w:szCs w:val="20"/>
          <w:lang w:val="en-GB"/>
        </w:rPr>
        <w:t>28</w:t>
      </w:r>
      <w:r w:rsidR="00DC760B" w:rsidRPr="00F4624C">
        <w:rPr>
          <w:rFonts w:ascii="Arial" w:hAnsi="Arial" w:cs="Arial"/>
          <w:i/>
          <w:sz w:val="20"/>
          <w:szCs w:val="20"/>
          <w:lang w:val="en-GB"/>
        </w:rPr>
        <w:t>-</w:t>
      </w:r>
      <w:r w:rsidR="00424C14" w:rsidRPr="00F4624C">
        <w:rPr>
          <w:rFonts w:ascii="Arial" w:hAnsi="Arial" w:cs="Arial"/>
          <w:i/>
          <w:sz w:val="20"/>
          <w:szCs w:val="20"/>
          <w:lang w:val="en-GB"/>
        </w:rPr>
        <w:t>5</w:t>
      </w:r>
      <w:r w:rsidR="006F0962" w:rsidRPr="00F4624C">
        <w:rPr>
          <w:rFonts w:ascii="Arial" w:hAnsi="Arial" w:cs="Arial"/>
          <w:i/>
          <w:sz w:val="20"/>
          <w:szCs w:val="20"/>
          <w:lang w:val="en-GB"/>
        </w:rPr>
        <w:t xml:space="preserve">. </w:t>
      </w:r>
      <w:r w:rsidR="00E35877" w:rsidRPr="00F4624C">
        <w:rPr>
          <w:rFonts w:ascii="Arial" w:hAnsi="Arial" w:cs="Arial"/>
          <w:b/>
          <w:i/>
          <w:sz w:val="20"/>
          <w:szCs w:val="20"/>
          <w:lang w:val="en-GB"/>
        </w:rPr>
        <w:t>General government gross debt</w:t>
      </w:r>
    </w:p>
    <w:p w:rsidR="009962D2" w:rsidRPr="00F4624C" w:rsidRDefault="006A1C15">
      <w:pPr>
        <w:autoSpaceDE w:val="0"/>
        <w:autoSpaceDN w:val="0"/>
        <w:adjustRightInd w:val="0"/>
        <w:spacing w:before="120"/>
        <w:ind w:firstLine="709"/>
        <w:jc w:val="both"/>
        <w:rPr>
          <w:rFonts w:ascii="Arial" w:hAnsi="Arial" w:cs="Arial"/>
          <w:i/>
          <w:color w:val="000000"/>
          <w:sz w:val="20"/>
          <w:szCs w:val="20"/>
          <w:lang w:val="en-GB"/>
        </w:rPr>
      </w:pPr>
      <w:r w:rsidRPr="00F4624C">
        <w:rPr>
          <w:rFonts w:ascii="Arial" w:hAnsi="Arial" w:cs="Arial"/>
          <w:i/>
          <w:color w:val="000000"/>
          <w:sz w:val="20"/>
          <w:szCs w:val="20"/>
          <w:lang w:val="en-GB"/>
        </w:rPr>
        <w:t xml:space="preserve">General government gross debt </w:t>
      </w:r>
      <w:r w:rsidR="00DC760B" w:rsidRPr="00F4624C">
        <w:rPr>
          <w:rFonts w:ascii="Arial" w:hAnsi="Arial" w:cs="Arial"/>
          <w:i/>
          <w:sz w:val="20"/>
          <w:szCs w:val="20"/>
          <w:lang w:val="en-GB"/>
        </w:rPr>
        <w:t xml:space="preserve">is </w:t>
      </w:r>
      <w:r w:rsidR="00DC760B" w:rsidRPr="00F4624C">
        <w:rPr>
          <w:rFonts w:ascii="Arial" w:hAnsi="Arial" w:cs="Arial"/>
          <w:i/>
          <w:color w:val="000000"/>
          <w:sz w:val="20"/>
          <w:szCs w:val="20"/>
          <w:lang w:val="en-GB"/>
        </w:rPr>
        <w:t xml:space="preserve">defined </w:t>
      </w:r>
      <w:r w:rsidR="00424C14" w:rsidRPr="00F4624C">
        <w:rPr>
          <w:rFonts w:ascii="Arial" w:hAnsi="Arial" w:cs="Arial"/>
          <w:i/>
          <w:color w:val="000000"/>
          <w:sz w:val="20"/>
          <w:szCs w:val="20"/>
          <w:lang w:val="en-GB"/>
        </w:rPr>
        <w:t xml:space="preserve">in the Maastricht Treaty as consolidated general government gross debt at nominal </w:t>
      </w:r>
      <w:r w:rsidR="006F0962" w:rsidRPr="00F4624C">
        <w:rPr>
          <w:rFonts w:ascii="Arial" w:hAnsi="Arial" w:cs="Arial"/>
          <w:i/>
          <w:color w:val="000000"/>
          <w:sz w:val="20"/>
          <w:szCs w:val="20"/>
          <w:lang w:val="en-GB"/>
        </w:rPr>
        <w:t>value, outstanding at the end of the year in the following categories of government liabilities (as defined in ESA</w:t>
      </w:r>
      <w:r w:rsidR="00F97CE0" w:rsidRPr="00F4624C">
        <w:rPr>
          <w:rFonts w:ascii="Arial" w:hAnsi="Arial" w:cs="Arial"/>
          <w:i/>
          <w:color w:val="000000"/>
          <w:sz w:val="20"/>
          <w:szCs w:val="20"/>
          <w:lang w:val="en-GB"/>
        </w:rPr>
        <w:t>2010): currency and deposits,</w:t>
      </w:r>
      <w:r w:rsidR="00BE2422" w:rsidRPr="00F4624C">
        <w:rPr>
          <w:rFonts w:ascii="Arial" w:hAnsi="Arial" w:cs="Arial"/>
          <w:i/>
          <w:color w:val="000000"/>
          <w:sz w:val="20"/>
          <w:szCs w:val="20"/>
          <w:lang w:val="en-GB"/>
        </w:rPr>
        <w:t xml:space="preserve"> debt securities and loans. The general government sector comprises the subsectors: central government, state government, local government</w:t>
      </w:r>
      <w:r w:rsidR="00F15C43" w:rsidRPr="00F4624C">
        <w:rPr>
          <w:rFonts w:ascii="Arial" w:hAnsi="Arial" w:cs="Arial"/>
          <w:i/>
          <w:color w:val="000000"/>
          <w:sz w:val="20"/>
          <w:szCs w:val="20"/>
          <w:lang w:val="en-GB"/>
        </w:rPr>
        <w:t>,</w:t>
      </w:r>
      <w:r w:rsidRPr="00F4624C">
        <w:rPr>
          <w:rFonts w:ascii="Arial" w:hAnsi="Arial" w:cs="Arial"/>
          <w:i/>
          <w:color w:val="000000"/>
          <w:sz w:val="20"/>
          <w:szCs w:val="20"/>
          <w:lang w:val="en-GB"/>
        </w:rPr>
        <w:t xml:space="preserve"> and social security </w:t>
      </w:r>
      <w:r w:rsidR="00DC760B" w:rsidRPr="00F4624C">
        <w:rPr>
          <w:rFonts w:ascii="Arial" w:hAnsi="Arial" w:cs="Arial"/>
          <w:i/>
          <w:sz w:val="20"/>
          <w:szCs w:val="20"/>
          <w:lang w:val="en-GB"/>
        </w:rPr>
        <w:t>funds.</w:t>
      </w:r>
    </w:p>
    <w:p w:rsidR="00657725" w:rsidRPr="00F4624C" w:rsidRDefault="00657725" w:rsidP="00FD5C68">
      <w:pPr>
        <w:autoSpaceDE w:val="0"/>
        <w:autoSpaceDN w:val="0"/>
        <w:adjustRightInd w:val="0"/>
        <w:rPr>
          <w:rFonts w:ascii="Arial" w:hAnsi="Arial" w:cs="Arial"/>
          <w:i/>
          <w:iCs/>
          <w:sz w:val="20"/>
          <w:szCs w:val="20"/>
          <w:lang w:val="en-GB"/>
        </w:rPr>
      </w:pPr>
    </w:p>
    <w:p w:rsidR="00657725" w:rsidRPr="00F4624C" w:rsidRDefault="00657725" w:rsidP="00FD5C68">
      <w:pPr>
        <w:autoSpaceDE w:val="0"/>
        <w:autoSpaceDN w:val="0"/>
        <w:adjustRightInd w:val="0"/>
        <w:rPr>
          <w:rFonts w:ascii="Arial" w:hAnsi="Arial" w:cs="Arial"/>
          <w:i/>
          <w:iCs/>
          <w:sz w:val="20"/>
          <w:szCs w:val="20"/>
          <w:lang w:val="en-GB"/>
        </w:rPr>
      </w:pPr>
    </w:p>
    <w:p w:rsidR="0077412B" w:rsidRPr="00CF085D" w:rsidRDefault="006A1C15">
      <w:pPr>
        <w:autoSpaceDE w:val="0"/>
        <w:autoSpaceDN w:val="0"/>
        <w:adjustRightInd w:val="0"/>
        <w:rPr>
          <w:rFonts w:ascii="Arial" w:hAnsi="Arial" w:cs="Arial"/>
          <w:i/>
          <w:sz w:val="20"/>
          <w:szCs w:val="20"/>
          <w:lang w:val="en-GB"/>
        </w:rPr>
      </w:pPr>
      <w:r w:rsidRPr="00F4624C">
        <w:rPr>
          <w:rFonts w:ascii="Arial" w:hAnsi="Arial" w:cs="Arial"/>
          <w:i/>
          <w:iCs/>
          <w:sz w:val="20"/>
          <w:szCs w:val="20"/>
          <w:lang w:val="en-GB"/>
        </w:rPr>
        <w:t xml:space="preserve">Table </w:t>
      </w:r>
      <w:r w:rsidRPr="00F4624C">
        <w:rPr>
          <w:rFonts w:ascii="Arial" w:hAnsi="Arial" w:cs="Arial"/>
          <w:b/>
          <w:i/>
          <w:sz w:val="20"/>
          <w:szCs w:val="20"/>
          <w:lang w:val="en-GB"/>
        </w:rPr>
        <w:t>28</w:t>
      </w:r>
      <w:r w:rsidR="00DC760B" w:rsidRPr="00F4624C">
        <w:rPr>
          <w:rFonts w:ascii="Arial" w:hAnsi="Arial" w:cs="Arial"/>
          <w:i/>
          <w:sz w:val="20"/>
          <w:szCs w:val="20"/>
          <w:lang w:val="en-GB"/>
        </w:rPr>
        <w:t xml:space="preserve">-6. </w:t>
      </w:r>
      <w:r w:rsidR="00DC760B" w:rsidRPr="00F4624C">
        <w:rPr>
          <w:rFonts w:ascii="Arial" w:hAnsi="Arial" w:cs="Arial"/>
          <w:b/>
          <w:i/>
          <w:sz w:val="20"/>
          <w:szCs w:val="20"/>
          <w:lang w:val="en-GB"/>
        </w:rPr>
        <w:t>Gross domestic expenditure on R&amp;D (GERD)</w:t>
      </w:r>
    </w:p>
    <w:p w:rsidR="009962D2" w:rsidRPr="00F4624C" w:rsidRDefault="006A1C15">
      <w:pPr>
        <w:autoSpaceDE w:val="0"/>
        <w:autoSpaceDN w:val="0"/>
        <w:adjustRightInd w:val="0"/>
        <w:spacing w:before="120"/>
        <w:ind w:firstLine="709"/>
        <w:jc w:val="both"/>
        <w:rPr>
          <w:rFonts w:ascii="Arial" w:hAnsi="Arial" w:cs="Arial"/>
          <w:i/>
          <w:sz w:val="20"/>
          <w:szCs w:val="20"/>
          <w:lang w:val="en-GB"/>
        </w:rPr>
      </w:pPr>
      <w:r w:rsidRPr="00F4624C">
        <w:rPr>
          <w:rFonts w:ascii="Arial" w:hAnsi="Arial" w:cs="Arial"/>
          <w:i/>
          <w:sz w:val="20"/>
          <w:szCs w:val="20"/>
          <w:lang w:val="en-GB"/>
        </w:rPr>
        <w:t>GERD (gross domestic expenditure on R&amp;D) as a percentage of GDP. “</w:t>
      </w:r>
      <w:r w:rsidR="00DC760B" w:rsidRPr="00F4624C">
        <w:rPr>
          <w:rFonts w:ascii="Arial" w:hAnsi="Arial" w:cs="Arial"/>
          <w:i/>
          <w:sz w:val="20"/>
          <w:szCs w:val="20"/>
          <w:lang w:val="en-GB"/>
        </w:rPr>
        <w:t>Research and experimental development (R&amp;D) comprise creative work undertaken on a systematic basis in order to increase the stock of knowledge, including knowledge of man, culture and society and the use of this stock of knowledge to devise new applications” (Frascati Manual, 2002 edition, § 63).</w:t>
      </w:r>
    </w:p>
    <w:p w:rsidR="00CC2E48" w:rsidRPr="00F4624C" w:rsidRDefault="00CC2E48" w:rsidP="00FC7F0D">
      <w:pPr>
        <w:rPr>
          <w:rFonts w:ascii="Arial" w:hAnsi="Arial" w:cs="Arial"/>
          <w:i/>
          <w:iCs/>
          <w:sz w:val="20"/>
          <w:szCs w:val="20"/>
          <w:lang w:val="en-GB"/>
        </w:rPr>
      </w:pPr>
    </w:p>
    <w:p w:rsidR="00CC2E48" w:rsidRPr="00F4624C" w:rsidRDefault="00CC2E48" w:rsidP="00FC7F0D">
      <w:pPr>
        <w:rPr>
          <w:rFonts w:ascii="Arial" w:hAnsi="Arial" w:cs="Arial"/>
          <w:i/>
          <w:iCs/>
          <w:sz w:val="20"/>
          <w:szCs w:val="20"/>
          <w:lang w:val="en-GB"/>
        </w:rPr>
      </w:pPr>
    </w:p>
    <w:p w:rsidR="00951BDF" w:rsidRPr="00F4624C" w:rsidRDefault="006A1C15" w:rsidP="00FC7F0D">
      <w:pPr>
        <w:rPr>
          <w:rFonts w:ascii="Arial" w:hAnsi="Arial" w:cs="Arial"/>
          <w:i/>
          <w:color w:val="000000"/>
          <w:sz w:val="20"/>
          <w:szCs w:val="20"/>
          <w:lang w:val="en-GB"/>
        </w:rPr>
      </w:pPr>
      <w:r w:rsidRPr="00F4624C">
        <w:rPr>
          <w:rFonts w:ascii="Arial" w:hAnsi="Arial" w:cs="Arial"/>
          <w:i/>
          <w:iCs/>
          <w:sz w:val="20"/>
          <w:szCs w:val="20"/>
          <w:lang w:val="en-GB"/>
        </w:rPr>
        <w:t xml:space="preserve">Table </w:t>
      </w:r>
      <w:r w:rsidRPr="00F4624C">
        <w:rPr>
          <w:rFonts w:ascii="Arial" w:hAnsi="Arial" w:cs="Arial"/>
          <w:b/>
          <w:bCs/>
          <w:i/>
          <w:iCs/>
          <w:sz w:val="20"/>
          <w:szCs w:val="20"/>
          <w:lang w:val="en-GB"/>
        </w:rPr>
        <w:t>28</w:t>
      </w:r>
      <w:r w:rsidRPr="00F4624C">
        <w:rPr>
          <w:rFonts w:ascii="Arial" w:hAnsi="Arial" w:cs="Arial"/>
          <w:i/>
          <w:iCs/>
          <w:sz w:val="20"/>
          <w:szCs w:val="20"/>
          <w:lang w:val="en-GB"/>
        </w:rPr>
        <w:t xml:space="preserve">-7. </w:t>
      </w:r>
      <w:r w:rsidRPr="00F4624C">
        <w:rPr>
          <w:rFonts w:ascii="Arial" w:hAnsi="Arial" w:cs="Arial"/>
          <w:b/>
          <w:i/>
          <w:color w:val="000000"/>
          <w:sz w:val="20"/>
          <w:szCs w:val="20"/>
          <w:lang w:val="en-GB"/>
        </w:rPr>
        <w:t>Inflation rate</w:t>
      </w:r>
    </w:p>
    <w:p w:rsidR="00951BDF" w:rsidRPr="00F4624C" w:rsidRDefault="00BE2422" w:rsidP="00EA0E88">
      <w:pPr>
        <w:pStyle w:val="Zkladntext3"/>
        <w:autoSpaceDE w:val="0"/>
        <w:autoSpaceDN w:val="0"/>
        <w:adjustRightInd w:val="0"/>
        <w:ind w:firstLine="709"/>
        <w:rPr>
          <w:szCs w:val="20"/>
        </w:rPr>
      </w:pPr>
      <w:r w:rsidRPr="00F4624C">
        <w:rPr>
          <w:szCs w:val="20"/>
        </w:rPr>
        <w:t xml:space="preserve">Annual average rate of change in Harmonized Indices of Consumer Prices (HICPs). HICPs are designed for international comparisons of consumer price inflation. HICP is used for example by the European Central Bank for monitoring of inflation in the Economic and Monetary Union and for </w:t>
      </w:r>
      <w:r w:rsidRPr="00F4624C">
        <w:rPr>
          <w:szCs w:val="20"/>
        </w:rPr>
        <w:lastRenderedPageBreak/>
        <w:t>the assessment of inflation convergence as required under Article 121 of the Treaty of Amsterdam. For the United States and Japan national consumer price indices are used in the table.</w:t>
      </w:r>
    </w:p>
    <w:p w:rsidR="00951BDF" w:rsidRPr="00F4624C" w:rsidRDefault="00951BDF" w:rsidP="00E700B9">
      <w:pPr>
        <w:autoSpaceDE w:val="0"/>
        <w:autoSpaceDN w:val="0"/>
        <w:adjustRightInd w:val="0"/>
        <w:rPr>
          <w:rFonts w:ascii="Arial" w:hAnsi="Arial" w:cs="Arial"/>
          <w:i/>
          <w:iCs/>
          <w:sz w:val="20"/>
          <w:szCs w:val="20"/>
          <w:lang w:val="en-GB"/>
        </w:rPr>
      </w:pPr>
    </w:p>
    <w:p w:rsidR="00FC7F0D" w:rsidRPr="00F4624C" w:rsidRDefault="00FC7F0D" w:rsidP="00E700B9">
      <w:pPr>
        <w:autoSpaceDE w:val="0"/>
        <w:autoSpaceDN w:val="0"/>
        <w:adjustRightInd w:val="0"/>
        <w:rPr>
          <w:rFonts w:ascii="Arial" w:hAnsi="Arial" w:cs="Arial"/>
          <w:i/>
          <w:iCs/>
          <w:sz w:val="20"/>
          <w:szCs w:val="20"/>
          <w:lang w:val="en-GB"/>
        </w:rPr>
      </w:pPr>
    </w:p>
    <w:p w:rsidR="00951BDF" w:rsidRPr="00F4624C" w:rsidRDefault="006A1C15" w:rsidP="00FC7F0D">
      <w:pPr>
        <w:autoSpaceDE w:val="0"/>
        <w:autoSpaceDN w:val="0"/>
        <w:adjustRightInd w:val="0"/>
        <w:rPr>
          <w:rFonts w:ascii="Arial" w:hAnsi="Arial" w:cs="Arial"/>
          <w:i/>
          <w:iCs/>
          <w:sz w:val="20"/>
          <w:szCs w:val="20"/>
          <w:lang w:val="en-GB"/>
        </w:rPr>
      </w:pPr>
      <w:r w:rsidRPr="00F4624C">
        <w:rPr>
          <w:rFonts w:ascii="Arial" w:hAnsi="Arial" w:cs="Arial"/>
          <w:i/>
          <w:iCs/>
          <w:sz w:val="20"/>
          <w:szCs w:val="20"/>
          <w:lang w:val="en-GB"/>
        </w:rPr>
        <w:t xml:space="preserve">Table </w:t>
      </w:r>
      <w:r w:rsidRPr="00F4624C">
        <w:rPr>
          <w:rFonts w:ascii="Arial" w:hAnsi="Arial" w:cs="Arial"/>
          <w:b/>
          <w:bCs/>
          <w:i/>
          <w:iCs/>
          <w:sz w:val="20"/>
          <w:szCs w:val="20"/>
          <w:lang w:val="en-GB"/>
        </w:rPr>
        <w:t>28</w:t>
      </w:r>
      <w:r w:rsidRPr="00F4624C">
        <w:rPr>
          <w:rFonts w:ascii="Arial" w:hAnsi="Arial" w:cs="Arial"/>
          <w:i/>
          <w:iCs/>
          <w:sz w:val="20"/>
          <w:szCs w:val="20"/>
          <w:lang w:val="en-GB"/>
        </w:rPr>
        <w:t xml:space="preserve">-8. </w:t>
      </w:r>
      <w:r w:rsidRPr="00F4624C">
        <w:rPr>
          <w:rFonts w:ascii="Arial" w:hAnsi="Arial" w:cs="Arial"/>
          <w:b/>
          <w:bCs/>
          <w:i/>
          <w:iCs/>
          <w:sz w:val="20"/>
          <w:szCs w:val="20"/>
          <w:lang w:val="en-GB"/>
        </w:rPr>
        <w:t>Comparative price levels</w:t>
      </w:r>
    </w:p>
    <w:p w:rsidR="00D6107A" w:rsidRPr="00F4624C" w:rsidRDefault="006A1C15" w:rsidP="00801E8C">
      <w:pPr>
        <w:spacing w:before="120"/>
        <w:ind w:firstLine="709"/>
        <w:jc w:val="both"/>
        <w:rPr>
          <w:rFonts w:ascii="Arial" w:hAnsi="Arial" w:cs="Arial"/>
          <w:i/>
          <w:color w:val="000000"/>
          <w:sz w:val="20"/>
          <w:szCs w:val="20"/>
          <w:lang w:val="en-GB"/>
        </w:rPr>
      </w:pPr>
      <w:r w:rsidRPr="00F4624C">
        <w:rPr>
          <w:rFonts w:ascii="Arial" w:hAnsi="Arial" w:cs="Arial"/>
          <w:i/>
          <w:color w:val="000000"/>
          <w:sz w:val="20"/>
          <w:szCs w:val="20"/>
          <w:lang w:val="en-GB"/>
        </w:rPr>
        <w:t xml:space="preserve">Comparative price levels of final consumption by private households including indirect taxes. Comparative price levels are the ratio between Purchasing power parities (PPPs) and market </w:t>
      </w:r>
      <w:r w:rsidR="00DC760B" w:rsidRPr="00F4624C">
        <w:rPr>
          <w:rFonts w:ascii="Arial" w:hAnsi="Arial" w:cs="Arial"/>
          <w:i/>
          <w:color w:val="000000"/>
          <w:sz w:val="20"/>
          <w:szCs w:val="20"/>
          <w:lang w:val="en-GB"/>
        </w:rPr>
        <w:t>exchange rate for each country. PPPs are currency conversion rates that convert economic indicators expressed in national currencies to a common currency, called Purchasing Power Standard (PPS), which equalises the purchasing power of different national currencies and thus allows meaningful comparison. The ratio is shown in r</w:t>
      </w:r>
      <w:r w:rsidR="00424C14" w:rsidRPr="00F4624C">
        <w:rPr>
          <w:rFonts w:ascii="Arial" w:hAnsi="Arial" w:cs="Arial"/>
          <w:i/>
          <w:color w:val="000000"/>
          <w:sz w:val="20"/>
          <w:szCs w:val="20"/>
          <w:lang w:val="en-GB"/>
        </w:rPr>
        <w:t>elation to the EU average (EU28 = 100). If the index of the comparative price levels shown for a country is higher/lower than 100, the country concerned is relatively expensive/cheap as compared with the EU average.</w:t>
      </w:r>
    </w:p>
    <w:p w:rsidR="00FC7F0D" w:rsidRPr="00F4624C" w:rsidRDefault="00FC7F0D" w:rsidP="00E700B9">
      <w:pPr>
        <w:rPr>
          <w:rFonts w:ascii="Arial" w:hAnsi="Arial" w:cs="Arial"/>
          <w:i/>
          <w:iCs/>
          <w:sz w:val="20"/>
          <w:szCs w:val="20"/>
          <w:lang w:val="en-GB"/>
        </w:rPr>
      </w:pPr>
    </w:p>
    <w:p w:rsidR="00951BDF" w:rsidRPr="00F4624C" w:rsidRDefault="00951BDF" w:rsidP="00E700B9">
      <w:pPr>
        <w:rPr>
          <w:rFonts w:ascii="Arial" w:hAnsi="Arial" w:cs="Arial"/>
          <w:i/>
          <w:iCs/>
          <w:sz w:val="20"/>
          <w:szCs w:val="20"/>
          <w:lang w:val="en-GB"/>
        </w:rPr>
      </w:pPr>
    </w:p>
    <w:p w:rsidR="00951BDF" w:rsidRPr="00F4624C" w:rsidRDefault="006A1C15" w:rsidP="00E700B9">
      <w:pPr>
        <w:rPr>
          <w:rFonts w:ascii="Arial" w:hAnsi="Arial" w:cs="Arial"/>
          <w:i/>
          <w:iCs/>
          <w:sz w:val="20"/>
          <w:szCs w:val="20"/>
          <w:lang w:val="en-GB"/>
        </w:rPr>
      </w:pPr>
      <w:r w:rsidRPr="00F4624C">
        <w:rPr>
          <w:rFonts w:ascii="Arial" w:hAnsi="Arial" w:cs="Arial"/>
          <w:i/>
          <w:iCs/>
          <w:sz w:val="20"/>
          <w:szCs w:val="20"/>
          <w:lang w:val="en-GB"/>
        </w:rPr>
        <w:t xml:space="preserve">Table </w:t>
      </w:r>
      <w:r w:rsidRPr="00F4624C">
        <w:rPr>
          <w:rFonts w:ascii="Arial" w:hAnsi="Arial" w:cs="Arial"/>
          <w:b/>
          <w:bCs/>
          <w:i/>
          <w:iCs/>
          <w:sz w:val="20"/>
          <w:szCs w:val="20"/>
          <w:lang w:val="en-GB"/>
        </w:rPr>
        <w:t>28</w:t>
      </w:r>
      <w:r w:rsidRPr="00F4624C">
        <w:rPr>
          <w:rFonts w:ascii="Arial" w:hAnsi="Arial" w:cs="Arial"/>
          <w:i/>
          <w:iCs/>
          <w:sz w:val="20"/>
          <w:szCs w:val="20"/>
          <w:lang w:val="en-GB"/>
        </w:rPr>
        <w:t xml:space="preserve">-9. </w:t>
      </w:r>
      <w:r w:rsidRPr="00F4624C">
        <w:rPr>
          <w:rFonts w:ascii="Arial" w:hAnsi="Arial" w:cs="Arial"/>
          <w:b/>
          <w:bCs/>
          <w:i/>
          <w:iCs/>
          <w:sz w:val="20"/>
          <w:szCs w:val="20"/>
          <w:lang w:val="en-GB"/>
        </w:rPr>
        <w:t>Employment rate</w:t>
      </w:r>
    </w:p>
    <w:p w:rsidR="00951BDF" w:rsidRPr="00F4624C" w:rsidRDefault="00BE2422" w:rsidP="00F4624C">
      <w:pPr>
        <w:pStyle w:val="Zkladntext3"/>
        <w:ind w:firstLine="709"/>
        <w:rPr>
          <w:szCs w:val="20"/>
        </w:rPr>
      </w:pPr>
      <w:r w:rsidRPr="00F4624C">
        <w:rPr>
          <w:szCs w:val="20"/>
        </w:rPr>
        <w:t>The employment rate is calculated by dividing</w:t>
      </w:r>
      <w:r w:rsidR="007D63F9">
        <w:rPr>
          <w:szCs w:val="20"/>
        </w:rPr>
        <w:t xml:space="preserve"> the </w:t>
      </w:r>
      <w:r w:rsidRPr="00F4624C">
        <w:rPr>
          <w:szCs w:val="20"/>
        </w:rPr>
        <w:t>number of persons aged 15 and more in employment by</w:t>
      </w:r>
      <w:r w:rsidR="007D63F9">
        <w:rPr>
          <w:szCs w:val="20"/>
        </w:rPr>
        <w:t xml:space="preserve"> the </w:t>
      </w:r>
      <w:r w:rsidRPr="00F4624C">
        <w:rPr>
          <w:szCs w:val="20"/>
        </w:rPr>
        <w:t>total population of</w:t>
      </w:r>
      <w:r w:rsidR="007D63F9">
        <w:rPr>
          <w:szCs w:val="20"/>
        </w:rPr>
        <w:t xml:space="preserve"> the </w:t>
      </w:r>
      <w:r w:rsidRPr="00F4624C">
        <w:rPr>
          <w:szCs w:val="20"/>
        </w:rPr>
        <w:t>same age group.</w:t>
      </w:r>
      <w:r w:rsidR="007D63F9">
        <w:rPr>
          <w:szCs w:val="20"/>
        </w:rPr>
        <w:t xml:space="preserve"> The </w:t>
      </w:r>
      <w:r w:rsidRPr="00F4624C">
        <w:rPr>
          <w:szCs w:val="20"/>
        </w:rPr>
        <w:t>indicator is based on</w:t>
      </w:r>
      <w:r w:rsidR="007D63F9">
        <w:rPr>
          <w:szCs w:val="20"/>
        </w:rPr>
        <w:t xml:space="preserve"> the </w:t>
      </w:r>
      <w:r w:rsidRPr="00F4624C">
        <w:rPr>
          <w:szCs w:val="20"/>
        </w:rPr>
        <w:t xml:space="preserve">EU Labour </w:t>
      </w:r>
      <w:r w:rsidR="009D6C3D" w:rsidRPr="00F4624C">
        <w:rPr>
          <w:szCs w:val="20"/>
        </w:rPr>
        <w:t>F</w:t>
      </w:r>
      <w:r w:rsidRPr="00F4624C">
        <w:rPr>
          <w:szCs w:val="20"/>
        </w:rPr>
        <w:t>orce Survey.</w:t>
      </w:r>
    </w:p>
    <w:p w:rsidR="00FC7F0D" w:rsidRPr="00F4624C" w:rsidRDefault="00FC7F0D" w:rsidP="00E700B9">
      <w:pPr>
        <w:pStyle w:val="Zkladntext3"/>
        <w:spacing w:before="0"/>
        <w:rPr>
          <w:szCs w:val="20"/>
        </w:rPr>
      </w:pPr>
    </w:p>
    <w:p w:rsidR="009E480B" w:rsidRPr="00F4624C" w:rsidRDefault="009E480B" w:rsidP="00E700B9">
      <w:pPr>
        <w:pStyle w:val="Zkladntext3"/>
        <w:spacing w:before="0"/>
        <w:rPr>
          <w:szCs w:val="20"/>
        </w:rPr>
      </w:pPr>
    </w:p>
    <w:p w:rsidR="00F94315" w:rsidRPr="00F4624C" w:rsidRDefault="00BE2422" w:rsidP="00914D46">
      <w:pPr>
        <w:pStyle w:val="Zkladntext3"/>
        <w:spacing w:before="0"/>
        <w:rPr>
          <w:szCs w:val="20"/>
        </w:rPr>
      </w:pPr>
      <w:r w:rsidRPr="00F4624C">
        <w:rPr>
          <w:szCs w:val="20"/>
        </w:rPr>
        <w:t xml:space="preserve">Table </w:t>
      </w:r>
      <w:r w:rsidRPr="00F4624C">
        <w:rPr>
          <w:b/>
          <w:szCs w:val="20"/>
        </w:rPr>
        <w:t>28</w:t>
      </w:r>
      <w:r w:rsidRPr="00F4624C">
        <w:rPr>
          <w:szCs w:val="20"/>
        </w:rPr>
        <w:t xml:space="preserve">-10. </w:t>
      </w:r>
      <w:r w:rsidRPr="00F4624C">
        <w:rPr>
          <w:b/>
          <w:bCs/>
          <w:szCs w:val="20"/>
        </w:rPr>
        <w:t>Unemployment rate</w:t>
      </w:r>
    </w:p>
    <w:p w:rsidR="008449AD" w:rsidRPr="00F4624C" w:rsidRDefault="00BE2422" w:rsidP="00175066">
      <w:pPr>
        <w:pStyle w:val="Zkladntext3"/>
        <w:ind w:firstLine="709"/>
        <w:rPr>
          <w:szCs w:val="20"/>
        </w:rPr>
      </w:pPr>
      <w:r w:rsidRPr="00F4624C">
        <w:rPr>
          <w:szCs w:val="20"/>
        </w:rPr>
        <w:t xml:space="preserve">Unemployment rates represent unemployed persons as a percentage of the labour force. The labour force is the total number of people employed and unemployed. Unemployed persons comprise persons aged 15 to 74 who were: </w:t>
      </w:r>
    </w:p>
    <w:p w:rsidR="008449AD" w:rsidRPr="00F4624C" w:rsidRDefault="00BE2422" w:rsidP="008449AD">
      <w:pPr>
        <w:pStyle w:val="Zkladntext3"/>
        <w:rPr>
          <w:szCs w:val="20"/>
        </w:rPr>
      </w:pPr>
      <w:r w:rsidRPr="00F4624C">
        <w:rPr>
          <w:szCs w:val="20"/>
        </w:rPr>
        <w:t xml:space="preserve">a) without work during the reference week, </w:t>
      </w:r>
    </w:p>
    <w:p w:rsidR="008449AD" w:rsidRPr="00F4624C" w:rsidRDefault="00BE2422" w:rsidP="008449AD">
      <w:pPr>
        <w:pStyle w:val="Zkladntext3"/>
        <w:ind w:left="227" w:hanging="227"/>
        <w:rPr>
          <w:szCs w:val="20"/>
        </w:rPr>
      </w:pPr>
      <w:r w:rsidRPr="00F4624C">
        <w:rPr>
          <w:szCs w:val="20"/>
        </w:rPr>
        <w:t xml:space="preserve">b) currently available for work, i.e. were available for paid employment or self-employment before the end of the two weeks following the reference week, </w:t>
      </w:r>
    </w:p>
    <w:p w:rsidR="00951BDF" w:rsidRPr="00F4624C" w:rsidRDefault="00BE2422" w:rsidP="008449AD">
      <w:pPr>
        <w:pStyle w:val="Zkladntext3"/>
        <w:ind w:left="227" w:hanging="227"/>
        <w:rPr>
          <w:szCs w:val="20"/>
        </w:rPr>
      </w:pPr>
      <w:r w:rsidRPr="00F4624C">
        <w:rPr>
          <w:szCs w:val="20"/>
        </w:rPr>
        <w:t>c) actively seeking work, i.e. had taken specific steps in the four weeks period ending with the reference week to seek paid employment or self-employment or who found a job to start later, i.e. within a period of, at most, three months.</w:t>
      </w:r>
    </w:p>
    <w:p w:rsidR="00FC7F0D" w:rsidRPr="00F4624C" w:rsidRDefault="00FC7F0D" w:rsidP="00FC7F0D">
      <w:pPr>
        <w:pStyle w:val="Zkladntext3"/>
        <w:spacing w:before="0"/>
        <w:rPr>
          <w:szCs w:val="20"/>
        </w:rPr>
      </w:pPr>
    </w:p>
    <w:p w:rsidR="00951BDF" w:rsidRPr="00F4624C" w:rsidRDefault="00951BDF" w:rsidP="00E700B9">
      <w:pPr>
        <w:pStyle w:val="Zkladntext3"/>
        <w:spacing w:before="0"/>
        <w:rPr>
          <w:szCs w:val="20"/>
        </w:rPr>
      </w:pPr>
    </w:p>
    <w:p w:rsidR="00951BDF" w:rsidRPr="00F4624C" w:rsidRDefault="00BE2422" w:rsidP="00E700B9">
      <w:pPr>
        <w:pStyle w:val="Zkladntext3"/>
        <w:spacing w:before="0"/>
        <w:rPr>
          <w:szCs w:val="20"/>
        </w:rPr>
      </w:pPr>
      <w:r w:rsidRPr="00F4624C">
        <w:rPr>
          <w:szCs w:val="20"/>
        </w:rPr>
        <w:t xml:space="preserve">Table </w:t>
      </w:r>
      <w:r w:rsidRPr="00F4624C">
        <w:rPr>
          <w:b/>
          <w:bCs/>
          <w:szCs w:val="20"/>
        </w:rPr>
        <w:t>28</w:t>
      </w:r>
      <w:r w:rsidRPr="00F4624C">
        <w:rPr>
          <w:szCs w:val="20"/>
        </w:rPr>
        <w:t xml:space="preserve">-11. </w:t>
      </w:r>
      <w:r w:rsidRPr="00F4624C">
        <w:rPr>
          <w:b/>
          <w:bCs/>
          <w:szCs w:val="20"/>
        </w:rPr>
        <w:t>Long-term unemployment rate</w:t>
      </w:r>
    </w:p>
    <w:p w:rsidR="00951BDF" w:rsidRPr="00F4624C" w:rsidRDefault="00BE2422" w:rsidP="00F46846">
      <w:pPr>
        <w:pStyle w:val="Zkladntext3"/>
        <w:ind w:firstLine="709"/>
        <w:rPr>
          <w:szCs w:val="20"/>
        </w:rPr>
      </w:pPr>
      <w:r w:rsidRPr="00F4624C">
        <w:rPr>
          <w:szCs w:val="20"/>
        </w:rPr>
        <w:t xml:space="preserve">Long-term unemployed (12 months and more) as a percentage of the total active population. Long-term unemployed </w:t>
      </w:r>
      <w:r w:rsidRPr="00F4624C">
        <w:t>comprise persons aged at least 15, who are not living in collective households, who will be without work during</w:t>
      </w:r>
      <w:r w:rsidR="007D63F9">
        <w:t xml:space="preserve"> the </w:t>
      </w:r>
      <w:r w:rsidRPr="00F4624C">
        <w:t>next two weeks, who would be available to start work within the next two weeks and who are seeking work (have actively sought employment at some time during</w:t>
      </w:r>
      <w:r w:rsidR="007D63F9">
        <w:t xml:space="preserve"> the </w:t>
      </w:r>
      <w:r w:rsidRPr="00F4624C">
        <w:t>previous four weeks or are not seeking</w:t>
      </w:r>
      <w:r w:rsidR="007D63F9">
        <w:t xml:space="preserve"> a </w:t>
      </w:r>
      <w:r w:rsidRPr="00F4624C">
        <w:t>job because they have already found a job to start later).</w:t>
      </w:r>
      <w:r w:rsidRPr="00F4624C">
        <w:rPr>
          <w:szCs w:val="20"/>
        </w:rPr>
        <w:t xml:space="preserve"> The total active population (labour force) is the total number of the employed and unemployed population. The duration of unemployment is defined as the duration of a search for a job or as the period of time since the last job was held (if this period is shorter than the duration of the search for a job).</w:t>
      </w:r>
    </w:p>
    <w:p w:rsidR="00951BDF" w:rsidRPr="00F4624C" w:rsidRDefault="00951BDF" w:rsidP="00E700B9">
      <w:pPr>
        <w:pStyle w:val="Zkladntext3"/>
        <w:spacing w:before="0"/>
        <w:rPr>
          <w:szCs w:val="20"/>
        </w:rPr>
      </w:pPr>
    </w:p>
    <w:p w:rsidR="00FC7F0D" w:rsidRPr="00F4624C" w:rsidRDefault="00FC7F0D" w:rsidP="00E700B9">
      <w:pPr>
        <w:pStyle w:val="Zkladntext3"/>
        <w:spacing w:before="0"/>
        <w:rPr>
          <w:szCs w:val="20"/>
        </w:rPr>
      </w:pPr>
    </w:p>
    <w:p w:rsidR="00951BDF" w:rsidRPr="00F4624C" w:rsidRDefault="00BE2422" w:rsidP="00CB67EA">
      <w:pPr>
        <w:pStyle w:val="Zkladntext3"/>
        <w:spacing w:before="0"/>
        <w:rPr>
          <w:szCs w:val="20"/>
        </w:rPr>
      </w:pPr>
      <w:r w:rsidRPr="00F4624C">
        <w:rPr>
          <w:szCs w:val="20"/>
        </w:rPr>
        <w:t xml:space="preserve">Table </w:t>
      </w:r>
      <w:r w:rsidRPr="00F4624C">
        <w:rPr>
          <w:b/>
          <w:bCs/>
          <w:szCs w:val="20"/>
        </w:rPr>
        <w:t>28</w:t>
      </w:r>
      <w:r w:rsidRPr="00F4624C">
        <w:rPr>
          <w:szCs w:val="20"/>
        </w:rPr>
        <w:t xml:space="preserve">-12. </w:t>
      </w:r>
      <w:r w:rsidRPr="00F4624C">
        <w:rPr>
          <w:b/>
          <w:bCs/>
          <w:szCs w:val="20"/>
        </w:rPr>
        <w:t>At-risk-of-poverty rate after social transfers</w:t>
      </w:r>
    </w:p>
    <w:p w:rsidR="00951BDF" w:rsidRPr="00F4624C" w:rsidRDefault="00BE2422" w:rsidP="00E700B9">
      <w:pPr>
        <w:pStyle w:val="Zkladntext3"/>
        <w:ind w:firstLine="709"/>
        <w:rPr>
          <w:szCs w:val="20"/>
        </w:rPr>
      </w:pPr>
      <w:r w:rsidRPr="00F4624C">
        <w:rPr>
          <w:szCs w:val="20"/>
        </w:rPr>
        <w:t xml:space="preserve">The share of persons with an equivalised disposable income below the risk-of-poverty threshold, which is set at 60% of the national median equivalised disposable income (after social transfers). </w:t>
      </w:r>
    </w:p>
    <w:p w:rsidR="00951BDF" w:rsidRPr="00F4624C" w:rsidRDefault="00951BDF" w:rsidP="00E700B9">
      <w:pPr>
        <w:pStyle w:val="Zkladntext3"/>
        <w:spacing w:before="0"/>
        <w:rPr>
          <w:szCs w:val="20"/>
        </w:rPr>
      </w:pPr>
    </w:p>
    <w:p w:rsidR="00951BDF" w:rsidRPr="00F4624C" w:rsidRDefault="00951BDF" w:rsidP="00E700B9">
      <w:pPr>
        <w:pStyle w:val="Zkladntext3"/>
        <w:spacing w:before="0"/>
        <w:rPr>
          <w:szCs w:val="20"/>
        </w:rPr>
      </w:pPr>
    </w:p>
    <w:p w:rsidR="00951BDF" w:rsidRPr="00F4624C" w:rsidRDefault="00BE2422" w:rsidP="00E700B9">
      <w:pPr>
        <w:pStyle w:val="Zkladntext3"/>
        <w:spacing w:before="0"/>
        <w:rPr>
          <w:szCs w:val="20"/>
        </w:rPr>
      </w:pPr>
      <w:r w:rsidRPr="00F4624C">
        <w:rPr>
          <w:szCs w:val="20"/>
        </w:rPr>
        <w:t xml:space="preserve">Table </w:t>
      </w:r>
      <w:r w:rsidRPr="00F4624C">
        <w:rPr>
          <w:b/>
          <w:bCs/>
          <w:szCs w:val="20"/>
        </w:rPr>
        <w:t>28</w:t>
      </w:r>
      <w:r w:rsidRPr="00F4624C">
        <w:rPr>
          <w:szCs w:val="20"/>
        </w:rPr>
        <w:t xml:space="preserve">-13. </w:t>
      </w:r>
      <w:r w:rsidRPr="00F4624C">
        <w:rPr>
          <w:b/>
          <w:bCs/>
          <w:szCs w:val="20"/>
        </w:rPr>
        <w:t>Public expenditure on education</w:t>
      </w:r>
    </w:p>
    <w:p w:rsidR="00997450" w:rsidRPr="00F4624C" w:rsidRDefault="00BE2422" w:rsidP="00997450">
      <w:pPr>
        <w:pStyle w:val="Zkladntext3"/>
        <w:ind w:firstLine="709"/>
        <w:rPr>
          <w:szCs w:val="20"/>
        </w:rPr>
      </w:pPr>
      <w:r w:rsidRPr="00F4624C">
        <w:rPr>
          <w:szCs w:val="20"/>
        </w:rPr>
        <w:t xml:space="preserve">Generally, the public sector funds education either by bearing directly the current and capital expenses of educational institutions or by supporting students and their families with scholarships and public loans as well as by transferring public subsidies for educational activities to private firms or non-profit organisations. Both types of transactions together are reported as total public expenditure </w:t>
      </w:r>
      <w:r w:rsidRPr="00F4624C">
        <w:rPr>
          <w:szCs w:val="20"/>
        </w:rPr>
        <w:lastRenderedPageBreak/>
        <w:t>on</w:t>
      </w:r>
      <w:r w:rsidR="00CF085D">
        <w:rPr>
          <w:szCs w:val="20"/>
        </w:rPr>
        <w:t> </w:t>
      </w:r>
      <w:r w:rsidRPr="00F4624C">
        <w:rPr>
          <w:szCs w:val="20"/>
        </w:rPr>
        <w:t xml:space="preserve">education. </w:t>
      </w:r>
      <w:r w:rsidRPr="00F4624C">
        <w:t>Education expendit</w:t>
      </w:r>
      <w:r w:rsidR="00B76D26">
        <w:t>ure data use respectively ISCED </w:t>
      </w:r>
      <w:r w:rsidRPr="00F4624C">
        <w:t>97 (all levels of education combined)</w:t>
      </w:r>
      <w:r w:rsidR="00B76D26">
        <w:t xml:space="preserve"> until 2011 </w:t>
      </w:r>
      <w:r w:rsidRPr="00F4624C">
        <w:t>dat</w:t>
      </w:r>
      <w:r w:rsidR="00B76D26">
        <w:t>a, and ISCED </w:t>
      </w:r>
      <w:r w:rsidRPr="00F4624C">
        <w:t>2011 (all levels excluding early childhood educational development) as from</w:t>
      </w:r>
      <w:r w:rsidR="007D63F9">
        <w:t xml:space="preserve"> the </w:t>
      </w:r>
      <w:r w:rsidRPr="00F4624C">
        <w:t>2012</w:t>
      </w:r>
      <w:r w:rsidR="00F15C43" w:rsidRPr="00F4624C">
        <w:t xml:space="preserve"> reference year</w:t>
      </w:r>
      <w:r w:rsidRPr="00F4624C">
        <w:t>.</w:t>
      </w:r>
    </w:p>
    <w:p w:rsidR="00951BDF" w:rsidRPr="00F4624C" w:rsidRDefault="00951BDF" w:rsidP="00E700B9">
      <w:pPr>
        <w:pStyle w:val="Zkladntext3"/>
        <w:spacing w:before="0"/>
        <w:rPr>
          <w:szCs w:val="20"/>
        </w:rPr>
      </w:pPr>
    </w:p>
    <w:p w:rsidR="00FC7F0D" w:rsidRPr="00F4624C" w:rsidRDefault="00FC7F0D" w:rsidP="00E700B9">
      <w:pPr>
        <w:pStyle w:val="Zkladntext3"/>
        <w:spacing w:before="0"/>
        <w:rPr>
          <w:szCs w:val="20"/>
        </w:rPr>
      </w:pPr>
    </w:p>
    <w:p w:rsidR="001A5EEB" w:rsidRPr="00CF085D" w:rsidRDefault="00BE2422" w:rsidP="00E700B9">
      <w:pPr>
        <w:pStyle w:val="Zkladntext3"/>
        <w:spacing w:before="0"/>
        <w:rPr>
          <w:szCs w:val="20"/>
        </w:rPr>
      </w:pPr>
      <w:r w:rsidRPr="00F4624C">
        <w:rPr>
          <w:szCs w:val="20"/>
        </w:rPr>
        <w:t xml:space="preserve">Table </w:t>
      </w:r>
      <w:r w:rsidRPr="00F4624C">
        <w:rPr>
          <w:b/>
          <w:szCs w:val="20"/>
        </w:rPr>
        <w:t>28</w:t>
      </w:r>
      <w:r w:rsidRPr="00F4624C">
        <w:rPr>
          <w:szCs w:val="20"/>
        </w:rPr>
        <w:t xml:space="preserve">-14. </w:t>
      </w:r>
      <w:r w:rsidRPr="00F4624C">
        <w:rPr>
          <w:b/>
          <w:szCs w:val="20"/>
        </w:rPr>
        <w:t>Total fertility rate</w:t>
      </w:r>
    </w:p>
    <w:p w:rsidR="0077412B" w:rsidRPr="00F4624C" w:rsidRDefault="00BE2422">
      <w:pPr>
        <w:pStyle w:val="Zkladntext3"/>
        <w:ind w:firstLine="709"/>
        <w:rPr>
          <w:szCs w:val="20"/>
        </w:rPr>
      </w:pPr>
      <w:r w:rsidRPr="00F4624C">
        <w:rPr>
          <w:bCs/>
        </w:rPr>
        <w:t xml:space="preserve">Total fertility rate </w:t>
      </w:r>
      <w:r w:rsidRPr="00F4624C">
        <w:t>(the sum of age-specific fertility rates): the average number of children that would be born alive to a woman provided age-specific fertility rates recorded in a reference calendar year will remain unchanged during her childbearing period (age 15–49 years).</w:t>
      </w:r>
      <w:r w:rsidR="005F4CDC" w:rsidRPr="00F4624C">
        <w:rPr>
          <w:i w:val="0"/>
          <w:iCs w:val="0"/>
          <w:szCs w:val="20"/>
        </w:rPr>
        <w:t xml:space="preserve"> </w:t>
      </w:r>
    </w:p>
    <w:p w:rsidR="001A5EEB" w:rsidRDefault="001A5EEB" w:rsidP="00E700B9">
      <w:pPr>
        <w:pStyle w:val="Zkladntext3"/>
        <w:spacing w:before="0"/>
        <w:rPr>
          <w:szCs w:val="20"/>
        </w:rPr>
      </w:pPr>
    </w:p>
    <w:p w:rsidR="00F4624C" w:rsidRPr="00F4624C" w:rsidRDefault="00F4624C" w:rsidP="00E700B9">
      <w:pPr>
        <w:pStyle w:val="Zkladntext3"/>
        <w:spacing w:before="0"/>
        <w:rPr>
          <w:szCs w:val="20"/>
        </w:rPr>
      </w:pPr>
    </w:p>
    <w:p w:rsidR="00951BDF" w:rsidRPr="00F4624C" w:rsidRDefault="00BE2422" w:rsidP="00E700B9">
      <w:pPr>
        <w:pStyle w:val="Zkladntext3"/>
        <w:spacing w:before="0"/>
        <w:rPr>
          <w:szCs w:val="20"/>
        </w:rPr>
      </w:pPr>
      <w:r w:rsidRPr="00F4624C">
        <w:rPr>
          <w:szCs w:val="20"/>
        </w:rPr>
        <w:t xml:space="preserve">Tables </w:t>
      </w:r>
      <w:r w:rsidRPr="00F4624C">
        <w:rPr>
          <w:b/>
          <w:bCs/>
          <w:szCs w:val="20"/>
        </w:rPr>
        <w:t>28</w:t>
      </w:r>
      <w:r w:rsidRPr="00F4624C">
        <w:rPr>
          <w:szCs w:val="20"/>
        </w:rPr>
        <w:t>-15 and </w:t>
      </w:r>
      <w:r w:rsidRPr="00F4624C">
        <w:rPr>
          <w:b/>
          <w:bCs/>
          <w:szCs w:val="20"/>
        </w:rPr>
        <w:t>28</w:t>
      </w:r>
      <w:r w:rsidRPr="00F4624C">
        <w:rPr>
          <w:szCs w:val="20"/>
        </w:rPr>
        <w:t xml:space="preserve">-16. </w:t>
      </w:r>
      <w:r w:rsidRPr="00F4624C">
        <w:rPr>
          <w:b/>
          <w:bCs/>
          <w:szCs w:val="20"/>
        </w:rPr>
        <w:t>Life expectancy at birth – males, females</w:t>
      </w:r>
    </w:p>
    <w:p w:rsidR="00951BDF" w:rsidRPr="00F4624C" w:rsidRDefault="00BE2422" w:rsidP="00E700B9">
      <w:pPr>
        <w:pStyle w:val="Zkladntext3"/>
        <w:ind w:firstLine="709"/>
        <w:rPr>
          <w:szCs w:val="20"/>
        </w:rPr>
      </w:pPr>
      <w:r w:rsidRPr="00F4624C">
        <w:rPr>
          <w:szCs w:val="20"/>
        </w:rPr>
        <w:t>Life expectancy at birth is defined as the mean number of years still to be lived by a person at birth, if subjected throughout the rest of his or her life to the current mortality conditions.</w:t>
      </w:r>
    </w:p>
    <w:p w:rsidR="00951BDF" w:rsidRPr="00F4624C" w:rsidRDefault="00951BDF" w:rsidP="00E700B9">
      <w:pPr>
        <w:rPr>
          <w:rFonts w:ascii="Arial" w:hAnsi="Arial" w:cs="Arial"/>
          <w:i/>
          <w:iCs/>
          <w:sz w:val="20"/>
          <w:szCs w:val="20"/>
          <w:lang w:val="en-GB"/>
        </w:rPr>
      </w:pPr>
    </w:p>
    <w:p w:rsidR="00657725" w:rsidRPr="00F4624C" w:rsidRDefault="00657725" w:rsidP="00B0122B">
      <w:pPr>
        <w:rPr>
          <w:rFonts w:ascii="Arial" w:hAnsi="Arial" w:cs="Arial"/>
          <w:i/>
          <w:iCs/>
          <w:sz w:val="20"/>
          <w:szCs w:val="20"/>
          <w:lang w:val="en-GB"/>
        </w:rPr>
      </w:pPr>
    </w:p>
    <w:p w:rsidR="008F769F" w:rsidRPr="00CF085D" w:rsidRDefault="006A1C15" w:rsidP="00B0122B">
      <w:pPr>
        <w:rPr>
          <w:rFonts w:ascii="Arial" w:hAnsi="Arial" w:cs="Arial"/>
          <w:i/>
          <w:sz w:val="20"/>
          <w:szCs w:val="20"/>
          <w:lang w:val="en-GB"/>
        </w:rPr>
      </w:pPr>
      <w:r w:rsidRPr="00F4624C">
        <w:rPr>
          <w:rFonts w:ascii="Arial" w:hAnsi="Arial" w:cs="Arial"/>
          <w:i/>
          <w:iCs/>
          <w:sz w:val="20"/>
          <w:szCs w:val="20"/>
          <w:lang w:val="en-GB"/>
        </w:rPr>
        <w:t xml:space="preserve">Table </w:t>
      </w:r>
      <w:r w:rsidRPr="00F4624C">
        <w:rPr>
          <w:rFonts w:ascii="Arial" w:hAnsi="Arial" w:cs="Arial"/>
          <w:b/>
          <w:i/>
          <w:sz w:val="20"/>
          <w:szCs w:val="20"/>
          <w:lang w:val="en-GB"/>
        </w:rPr>
        <w:t>28</w:t>
      </w:r>
      <w:r w:rsidR="00DC760B" w:rsidRPr="00F4624C">
        <w:rPr>
          <w:rFonts w:ascii="Arial" w:hAnsi="Arial" w:cs="Arial"/>
          <w:i/>
          <w:sz w:val="20"/>
          <w:szCs w:val="20"/>
          <w:lang w:val="en-GB"/>
        </w:rPr>
        <w:t>-</w:t>
      </w:r>
      <w:r w:rsidR="00BE2422" w:rsidRPr="00F4624C">
        <w:rPr>
          <w:rFonts w:ascii="Arial" w:hAnsi="Arial" w:cs="Arial"/>
          <w:i/>
          <w:sz w:val="20"/>
          <w:szCs w:val="20"/>
          <w:lang w:val="en-GB"/>
        </w:rPr>
        <w:t>17</w:t>
      </w:r>
      <w:r w:rsidR="00DC760B" w:rsidRPr="00F4624C">
        <w:rPr>
          <w:rFonts w:ascii="Arial" w:hAnsi="Arial" w:cs="Arial"/>
          <w:i/>
          <w:sz w:val="20"/>
          <w:szCs w:val="20"/>
          <w:lang w:val="en-GB"/>
        </w:rPr>
        <w:t xml:space="preserve">. </w:t>
      </w:r>
      <w:r w:rsidR="00DC760B" w:rsidRPr="00F4624C">
        <w:rPr>
          <w:rFonts w:ascii="Arial" w:hAnsi="Arial" w:cs="Arial"/>
          <w:b/>
          <w:i/>
          <w:sz w:val="20"/>
          <w:szCs w:val="20"/>
          <w:lang w:val="en-GB"/>
        </w:rPr>
        <w:t xml:space="preserve">Municipal waste </w:t>
      </w:r>
      <w:r w:rsidRPr="00F4624C">
        <w:rPr>
          <w:rFonts w:ascii="Arial" w:hAnsi="Arial" w:cs="Arial"/>
          <w:b/>
          <w:bCs/>
          <w:i/>
          <w:iCs/>
          <w:sz w:val="20"/>
          <w:szCs w:val="20"/>
          <w:lang w:val="en-GB"/>
        </w:rPr>
        <w:t>generated</w:t>
      </w:r>
    </w:p>
    <w:p w:rsidR="00EF650F" w:rsidRPr="00F4624C" w:rsidRDefault="006A1C15" w:rsidP="00EF650F">
      <w:pPr>
        <w:spacing w:before="120"/>
        <w:ind w:firstLine="709"/>
        <w:jc w:val="both"/>
        <w:rPr>
          <w:rFonts w:ascii="Arial" w:hAnsi="Arial" w:cs="Arial"/>
          <w:i/>
          <w:sz w:val="20"/>
          <w:szCs w:val="20"/>
          <w:lang w:val="en-GB"/>
        </w:rPr>
      </w:pPr>
      <w:r w:rsidRPr="00F4624C">
        <w:rPr>
          <w:rFonts w:ascii="Arial" w:hAnsi="Arial" w:cs="Arial"/>
          <w:i/>
          <w:sz w:val="20"/>
          <w:szCs w:val="20"/>
          <w:lang w:val="en-GB"/>
        </w:rPr>
        <w:t>Municipal waste</w:t>
      </w:r>
      <w:r w:rsidR="00DC760B" w:rsidRPr="00F4624C">
        <w:rPr>
          <w:rFonts w:ascii="Arial" w:eastAsia="Times New Roman" w:hAnsi="Arial" w:cs="Arial"/>
          <w:i/>
          <w:sz w:val="20"/>
          <w:szCs w:val="20"/>
          <w:lang w:val="en-GB" w:eastAsia="cs-CZ"/>
        </w:rPr>
        <w:t xml:space="preserve"> consists to</w:t>
      </w:r>
      <w:r w:rsidR="007D63F9">
        <w:rPr>
          <w:rFonts w:ascii="Arial" w:eastAsia="Times New Roman" w:hAnsi="Arial" w:cs="Arial"/>
          <w:i/>
          <w:sz w:val="20"/>
          <w:szCs w:val="20"/>
          <w:lang w:val="en-GB" w:eastAsia="cs-CZ"/>
        </w:rPr>
        <w:t xml:space="preserve"> a </w:t>
      </w:r>
      <w:r w:rsidR="00DC760B" w:rsidRPr="00F4624C">
        <w:rPr>
          <w:rFonts w:ascii="Arial" w:eastAsia="Times New Roman" w:hAnsi="Arial" w:cs="Arial"/>
          <w:i/>
          <w:sz w:val="20"/>
          <w:szCs w:val="20"/>
          <w:lang w:val="en-GB" w:eastAsia="cs-CZ"/>
        </w:rPr>
        <w:t xml:space="preserve">large extent of waste generated by </w:t>
      </w:r>
      <w:r w:rsidR="00DC760B" w:rsidRPr="00F4624C">
        <w:rPr>
          <w:rFonts w:ascii="Arial" w:hAnsi="Arial" w:cs="Arial"/>
          <w:i/>
          <w:sz w:val="20"/>
          <w:szCs w:val="20"/>
          <w:lang w:val="en-GB"/>
        </w:rPr>
        <w:t xml:space="preserve">households, </w:t>
      </w:r>
      <w:r w:rsidR="00DC760B" w:rsidRPr="00F4624C">
        <w:rPr>
          <w:rFonts w:ascii="Arial" w:eastAsia="Times New Roman" w:hAnsi="Arial" w:cs="Arial"/>
          <w:i/>
          <w:sz w:val="20"/>
          <w:szCs w:val="20"/>
          <w:lang w:val="en-GB" w:eastAsia="cs-CZ"/>
        </w:rPr>
        <w:t>but may also include</w:t>
      </w:r>
      <w:r w:rsidR="00424C14" w:rsidRPr="00F4624C">
        <w:rPr>
          <w:rFonts w:ascii="Arial" w:hAnsi="Arial" w:cs="Arial"/>
          <w:i/>
          <w:sz w:val="20"/>
          <w:szCs w:val="20"/>
          <w:lang w:val="en-GB"/>
        </w:rPr>
        <w:t xml:space="preserve"> similar wastes </w:t>
      </w:r>
      <w:r w:rsidR="006F0962" w:rsidRPr="00F4624C">
        <w:rPr>
          <w:rFonts w:ascii="Arial" w:eastAsia="Times New Roman" w:hAnsi="Arial" w:cs="Arial"/>
          <w:i/>
          <w:sz w:val="20"/>
          <w:szCs w:val="20"/>
          <w:lang w:val="en-GB" w:eastAsia="cs-CZ"/>
        </w:rPr>
        <w:t>generated by small businesses</w:t>
      </w:r>
      <w:r w:rsidR="00E35877" w:rsidRPr="00F4624C">
        <w:rPr>
          <w:rFonts w:ascii="Arial" w:hAnsi="Arial" w:cs="Arial"/>
          <w:i/>
          <w:sz w:val="20"/>
          <w:szCs w:val="20"/>
          <w:lang w:val="en-GB"/>
        </w:rPr>
        <w:t xml:space="preserve"> and public institutions </w:t>
      </w:r>
      <w:r w:rsidR="00F97CE0" w:rsidRPr="00F4624C">
        <w:rPr>
          <w:rFonts w:ascii="Arial" w:eastAsia="Times New Roman" w:hAnsi="Arial" w:cs="Arial"/>
          <w:i/>
          <w:sz w:val="20"/>
          <w:szCs w:val="20"/>
          <w:lang w:val="en-GB" w:eastAsia="cs-CZ"/>
        </w:rPr>
        <w:t>and collected by</w:t>
      </w:r>
      <w:r w:rsidR="007D63F9">
        <w:rPr>
          <w:rFonts w:ascii="Arial" w:eastAsia="Times New Roman" w:hAnsi="Arial" w:cs="Arial"/>
          <w:i/>
          <w:sz w:val="20"/>
          <w:szCs w:val="20"/>
          <w:lang w:val="en-GB" w:eastAsia="cs-CZ"/>
        </w:rPr>
        <w:t xml:space="preserve"> the </w:t>
      </w:r>
      <w:r w:rsidR="00F97CE0" w:rsidRPr="00F4624C">
        <w:rPr>
          <w:rFonts w:ascii="Arial" w:eastAsia="Times New Roman" w:hAnsi="Arial" w:cs="Arial"/>
          <w:i/>
          <w:sz w:val="20"/>
          <w:szCs w:val="20"/>
          <w:lang w:val="en-GB" w:eastAsia="cs-CZ"/>
        </w:rPr>
        <w:t>municipality; this part</w:t>
      </w:r>
      <w:r w:rsidR="005536EE" w:rsidRPr="00F4624C">
        <w:rPr>
          <w:rFonts w:ascii="Arial" w:hAnsi="Arial" w:cs="Arial"/>
          <w:i/>
          <w:sz w:val="20"/>
          <w:szCs w:val="20"/>
          <w:lang w:val="en-GB"/>
        </w:rPr>
        <w:t xml:space="preserve"> of municipal waste </w:t>
      </w:r>
      <w:r w:rsidR="005F4CDC" w:rsidRPr="00F4624C">
        <w:rPr>
          <w:rFonts w:ascii="Arial" w:eastAsia="Times New Roman" w:hAnsi="Arial" w:cs="Arial"/>
          <w:i/>
          <w:sz w:val="20"/>
          <w:szCs w:val="20"/>
          <w:lang w:val="en-GB" w:eastAsia="cs-CZ"/>
        </w:rPr>
        <w:t xml:space="preserve">may vary from municipality to </w:t>
      </w:r>
      <w:r w:rsidR="00407CEC" w:rsidRPr="00F4624C">
        <w:rPr>
          <w:rFonts w:ascii="Arial" w:eastAsia="Times New Roman" w:hAnsi="Arial" w:cs="Arial"/>
          <w:i/>
          <w:sz w:val="20"/>
          <w:szCs w:val="20"/>
          <w:lang w:val="en-GB" w:eastAsia="cs-CZ"/>
        </w:rPr>
        <w:t>municipality and from country to country, depending</w:t>
      </w:r>
      <w:r w:rsidR="00BE2422" w:rsidRPr="00F4624C">
        <w:rPr>
          <w:rFonts w:ascii="Arial" w:hAnsi="Arial" w:cs="Arial"/>
          <w:i/>
          <w:sz w:val="20"/>
          <w:szCs w:val="20"/>
          <w:lang w:val="en-GB"/>
        </w:rPr>
        <w:t xml:space="preserve"> on</w:t>
      </w:r>
      <w:r w:rsidR="007D63F9">
        <w:rPr>
          <w:rFonts w:ascii="Arial" w:hAnsi="Arial" w:cs="Arial"/>
          <w:i/>
          <w:sz w:val="20"/>
          <w:szCs w:val="20"/>
          <w:lang w:val="en-GB"/>
        </w:rPr>
        <w:t xml:space="preserve"> the </w:t>
      </w:r>
      <w:r w:rsidR="00BE2422" w:rsidRPr="00F4624C">
        <w:rPr>
          <w:rFonts w:ascii="Arial" w:eastAsia="Times New Roman" w:hAnsi="Arial" w:cs="Arial"/>
          <w:i/>
          <w:sz w:val="20"/>
          <w:szCs w:val="20"/>
          <w:lang w:val="en-GB" w:eastAsia="cs-CZ"/>
        </w:rPr>
        <w:t>local</w:t>
      </w:r>
      <w:r w:rsidR="00BE2422" w:rsidRPr="00F4624C">
        <w:rPr>
          <w:rFonts w:ascii="Arial" w:hAnsi="Arial" w:cs="Arial"/>
          <w:i/>
          <w:sz w:val="20"/>
          <w:szCs w:val="20"/>
          <w:lang w:val="en-GB"/>
        </w:rPr>
        <w:t xml:space="preserve"> waste management system. For areas not covered by</w:t>
      </w:r>
      <w:r w:rsidR="007D63F9">
        <w:rPr>
          <w:rFonts w:ascii="Arial" w:hAnsi="Arial" w:cs="Arial"/>
          <w:i/>
          <w:sz w:val="20"/>
          <w:szCs w:val="20"/>
          <w:lang w:val="en-GB"/>
        </w:rPr>
        <w:t xml:space="preserve"> a </w:t>
      </w:r>
      <w:r w:rsidR="00BE2422" w:rsidRPr="00F4624C">
        <w:rPr>
          <w:rFonts w:ascii="Arial" w:hAnsi="Arial" w:cs="Arial"/>
          <w:i/>
          <w:sz w:val="20"/>
          <w:szCs w:val="20"/>
          <w:lang w:val="en-GB"/>
        </w:rPr>
        <w:t>municipal waste collection scheme</w:t>
      </w:r>
      <w:r w:rsidR="007D63F9">
        <w:rPr>
          <w:rFonts w:ascii="Arial" w:hAnsi="Arial" w:cs="Arial"/>
          <w:i/>
          <w:sz w:val="20"/>
          <w:szCs w:val="20"/>
          <w:lang w:val="en-GB"/>
        </w:rPr>
        <w:t xml:space="preserve"> the </w:t>
      </w:r>
      <w:r w:rsidR="00BE2422" w:rsidRPr="00F4624C">
        <w:rPr>
          <w:rFonts w:ascii="Arial" w:hAnsi="Arial" w:cs="Arial"/>
          <w:i/>
          <w:sz w:val="20"/>
          <w:szCs w:val="20"/>
          <w:lang w:val="en-GB"/>
        </w:rPr>
        <w:t>amount of waste generated</w:t>
      </w:r>
      <w:r w:rsidR="00BE2422" w:rsidRPr="00F4624C">
        <w:rPr>
          <w:rFonts w:ascii="Arial" w:eastAsia="Times New Roman" w:hAnsi="Arial" w:cs="Arial"/>
          <w:i/>
          <w:sz w:val="20"/>
          <w:szCs w:val="20"/>
          <w:lang w:val="en-GB" w:eastAsia="cs-CZ"/>
        </w:rPr>
        <w:t xml:space="preserve"> is estimated</w:t>
      </w:r>
      <w:r w:rsidR="00BE2422" w:rsidRPr="00F4624C">
        <w:rPr>
          <w:rFonts w:ascii="Arial" w:hAnsi="Arial" w:cs="Arial"/>
          <w:i/>
          <w:sz w:val="20"/>
          <w:szCs w:val="20"/>
          <w:lang w:val="en-GB"/>
        </w:rPr>
        <w:t xml:space="preserve">. </w:t>
      </w:r>
    </w:p>
    <w:p w:rsidR="00657725" w:rsidRPr="00F4624C" w:rsidRDefault="00657725" w:rsidP="00B0122B">
      <w:pPr>
        <w:pStyle w:val="Zkladntext3"/>
        <w:spacing w:before="0"/>
        <w:rPr>
          <w:szCs w:val="20"/>
        </w:rPr>
      </w:pPr>
    </w:p>
    <w:p w:rsidR="00657725" w:rsidRPr="00F4624C" w:rsidRDefault="00657725" w:rsidP="00B0122B">
      <w:pPr>
        <w:pStyle w:val="Zkladntext3"/>
        <w:spacing w:before="0"/>
        <w:rPr>
          <w:szCs w:val="20"/>
        </w:rPr>
      </w:pPr>
    </w:p>
    <w:p w:rsidR="000F74C8" w:rsidRPr="00F4624C" w:rsidRDefault="00BE2422" w:rsidP="00B0122B">
      <w:pPr>
        <w:pStyle w:val="Zkladntext3"/>
        <w:spacing w:before="0"/>
        <w:rPr>
          <w:szCs w:val="20"/>
        </w:rPr>
      </w:pPr>
      <w:r w:rsidRPr="00F4624C">
        <w:rPr>
          <w:szCs w:val="20"/>
        </w:rPr>
        <w:t xml:space="preserve">Table </w:t>
      </w:r>
      <w:r w:rsidRPr="00F4624C">
        <w:rPr>
          <w:b/>
          <w:szCs w:val="20"/>
        </w:rPr>
        <w:t>28</w:t>
      </w:r>
      <w:r w:rsidRPr="00F4624C">
        <w:rPr>
          <w:szCs w:val="20"/>
        </w:rPr>
        <w:t xml:space="preserve">-18. </w:t>
      </w:r>
      <w:r w:rsidRPr="00F4624C">
        <w:rPr>
          <w:b/>
          <w:color w:val="333333"/>
          <w:szCs w:val="20"/>
        </w:rPr>
        <w:t>Energy intensity of the</w:t>
      </w:r>
      <w:r w:rsidR="007D63F9">
        <w:rPr>
          <w:b/>
          <w:bCs/>
          <w:szCs w:val="20"/>
        </w:rPr>
        <w:t xml:space="preserve"> </w:t>
      </w:r>
      <w:r w:rsidRPr="00F4624C">
        <w:rPr>
          <w:b/>
          <w:szCs w:val="20"/>
        </w:rPr>
        <w:t>economy</w:t>
      </w:r>
    </w:p>
    <w:p w:rsidR="00885F0A" w:rsidRPr="00F4624C" w:rsidRDefault="00BE2422" w:rsidP="0025769A">
      <w:pPr>
        <w:pStyle w:val="Zkladntext3"/>
        <w:ind w:firstLine="709"/>
        <w:rPr>
          <w:rFonts w:eastAsia="Calibri"/>
          <w:iCs w:val="0"/>
          <w:color w:val="000000"/>
          <w:szCs w:val="20"/>
          <w:lang w:eastAsia="en-US"/>
        </w:rPr>
      </w:pPr>
      <w:r w:rsidRPr="00F4624C">
        <w:rPr>
          <w:color w:val="000000"/>
          <w:szCs w:val="20"/>
        </w:rPr>
        <w:t>This indicator is</w:t>
      </w:r>
      <w:r w:rsidR="007D63F9">
        <w:rPr>
          <w:color w:val="000000"/>
          <w:szCs w:val="20"/>
        </w:rPr>
        <w:t xml:space="preserve"> the </w:t>
      </w:r>
      <w:r w:rsidRPr="00F4624C">
        <w:rPr>
          <w:color w:val="000000"/>
          <w:szCs w:val="20"/>
        </w:rPr>
        <w:t>ratio</w:t>
      </w:r>
      <w:r w:rsidRPr="00F4624C">
        <w:rPr>
          <w:rFonts w:eastAsia="Calibri"/>
          <w:color w:val="000000"/>
          <w:szCs w:val="20"/>
          <w:lang w:eastAsia="en-US"/>
        </w:rPr>
        <w:t xml:space="preserve"> between </w:t>
      </w:r>
      <w:r w:rsidRPr="00F4624C">
        <w:t>the</w:t>
      </w:r>
      <w:r w:rsidRPr="00F4624C">
        <w:rPr>
          <w:szCs w:val="20"/>
        </w:rPr>
        <w:t> </w:t>
      </w:r>
      <w:r w:rsidRPr="00F4624C">
        <w:t>gross inland consumption of energy and the</w:t>
      </w:r>
      <w:r w:rsidRPr="00F4624C">
        <w:rPr>
          <w:szCs w:val="20"/>
        </w:rPr>
        <w:t> </w:t>
      </w:r>
      <w:r w:rsidRPr="00F4624C">
        <w:t>gross domestic product (GDP) for a</w:t>
      </w:r>
      <w:r w:rsidRPr="00F4624C">
        <w:rPr>
          <w:szCs w:val="20"/>
        </w:rPr>
        <w:t> </w:t>
      </w:r>
      <w:r w:rsidRPr="00F4624C">
        <w:t>given calendar year. It measures the</w:t>
      </w:r>
      <w:r w:rsidRPr="00F4624C">
        <w:rPr>
          <w:szCs w:val="20"/>
        </w:rPr>
        <w:t> </w:t>
      </w:r>
      <w:r w:rsidRPr="00F4624C">
        <w:t>energy consumption of an economy and its overall energy efficiency. The</w:t>
      </w:r>
      <w:r w:rsidRPr="00F4624C">
        <w:rPr>
          <w:szCs w:val="20"/>
        </w:rPr>
        <w:t> </w:t>
      </w:r>
      <w:r w:rsidRPr="00F4624C">
        <w:t>gross inland consumption of energy is calculated as the</w:t>
      </w:r>
      <w:r w:rsidRPr="00F4624C">
        <w:rPr>
          <w:szCs w:val="20"/>
        </w:rPr>
        <w:t> </w:t>
      </w:r>
      <w:r w:rsidRPr="00F4624C">
        <w:t>sum of the</w:t>
      </w:r>
      <w:r w:rsidRPr="00F4624C">
        <w:rPr>
          <w:szCs w:val="20"/>
        </w:rPr>
        <w:t> </w:t>
      </w:r>
      <w:r w:rsidRPr="00F4624C">
        <w:t>gross inland consumption of five energy types: coal, electricity, oil, natural gas and renewable energy sources. The</w:t>
      </w:r>
      <w:r w:rsidRPr="00F4624C">
        <w:rPr>
          <w:szCs w:val="20"/>
        </w:rPr>
        <w:t> </w:t>
      </w:r>
      <w:r w:rsidRPr="00F4624C">
        <w:t xml:space="preserve">GDP figures are taken at chain linked volumes with reference </w:t>
      </w:r>
      <w:r w:rsidRPr="00F4624C">
        <w:rPr>
          <w:rFonts w:eastAsia="Calibri"/>
          <w:color w:val="000000"/>
          <w:szCs w:val="20"/>
          <w:lang w:eastAsia="en-US"/>
        </w:rPr>
        <w:t>year</w:t>
      </w:r>
      <w:r w:rsidRPr="00F4624C">
        <w:rPr>
          <w:color w:val="000000"/>
          <w:szCs w:val="20"/>
        </w:rPr>
        <w:t> 2005</w:t>
      </w:r>
      <w:r w:rsidRPr="00F4624C">
        <w:rPr>
          <w:rFonts w:eastAsia="Calibri"/>
          <w:color w:val="000000"/>
          <w:szCs w:val="20"/>
          <w:lang w:eastAsia="en-US"/>
        </w:rPr>
        <w:t xml:space="preserve">. </w:t>
      </w:r>
      <w:r w:rsidRPr="00F4624C">
        <w:t>The</w:t>
      </w:r>
      <w:r w:rsidRPr="00F4624C">
        <w:rPr>
          <w:szCs w:val="20"/>
        </w:rPr>
        <w:t> </w:t>
      </w:r>
      <w:r w:rsidRPr="00F4624C">
        <w:t>energy intensity ratio is determined by dividing the</w:t>
      </w:r>
      <w:r w:rsidRPr="00F4624C">
        <w:rPr>
          <w:szCs w:val="20"/>
        </w:rPr>
        <w:t> </w:t>
      </w:r>
      <w:r w:rsidRPr="00F4624C">
        <w:t>gross inland consumption by the</w:t>
      </w:r>
      <w:r w:rsidRPr="00F4624C">
        <w:rPr>
          <w:szCs w:val="20"/>
        </w:rPr>
        <w:t> </w:t>
      </w:r>
      <w:r w:rsidRPr="00F4624C">
        <w:t>GDP. Since gross inland consumption is measured in kgoe (kilogram of oil equivalent) and GDP in 1</w:t>
      </w:r>
      <w:r w:rsidRPr="00F4624C">
        <w:rPr>
          <w:szCs w:val="20"/>
        </w:rPr>
        <w:t> </w:t>
      </w:r>
      <w:r w:rsidRPr="00F4624C">
        <w:t>000 EUR, this ratio is measured in kgoe per 1</w:t>
      </w:r>
      <w:r w:rsidRPr="00F4624C">
        <w:rPr>
          <w:szCs w:val="20"/>
        </w:rPr>
        <w:t> </w:t>
      </w:r>
      <w:r w:rsidRPr="00F4624C">
        <w:t>000 EUR</w:t>
      </w:r>
      <w:r w:rsidRPr="00F4624C">
        <w:rPr>
          <w:rFonts w:eastAsia="Calibri"/>
          <w:color w:val="000000"/>
          <w:szCs w:val="20"/>
          <w:lang w:eastAsia="en-US"/>
        </w:rPr>
        <w:t>.</w:t>
      </w:r>
      <w:r w:rsidRPr="00F4624C">
        <w:rPr>
          <w:color w:val="000000"/>
          <w:szCs w:val="20"/>
        </w:rPr>
        <w:t xml:space="preserve"> </w:t>
      </w:r>
    </w:p>
    <w:p w:rsidR="00657725" w:rsidRPr="00F4624C" w:rsidRDefault="00657725" w:rsidP="00E700B9">
      <w:pPr>
        <w:pStyle w:val="Zkladntext3"/>
        <w:spacing w:before="0"/>
        <w:ind w:left="709" w:hanging="709"/>
        <w:rPr>
          <w:szCs w:val="20"/>
        </w:rPr>
      </w:pPr>
    </w:p>
    <w:p w:rsidR="00657725" w:rsidRPr="00F4624C" w:rsidRDefault="00657725" w:rsidP="00E700B9">
      <w:pPr>
        <w:pStyle w:val="Zkladntext3"/>
        <w:spacing w:before="0"/>
        <w:ind w:left="709" w:hanging="709"/>
        <w:rPr>
          <w:szCs w:val="20"/>
        </w:rPr>
      </w:pPr>
    </w:p>
    <w:p w:rsidR="0077412B" w:rsidRPr="00B76D26" w:rsidRDefault="006A1C15">
      <w:pPr>
        <w:pStyle w:val="Zkladntext3"/>
        <w:spacing w:before="0"/>
        <w:ind w:left="709" w:hanging="709"/>
        <w:rPr>
          <w:iCs w:val="0"/>
        </w:rPr>
      </w:pPr>
      <w:r w:rsidRPr="00B76D26">
        <w:rPr>
          <w:szCs w:val="20"/>
        </w:rPr>
        <w:t xml:space="preserve">Table </w:t>
      </w:r>
      <w:r w:rsidR="00DC760B" w:rsidRPr="00B76D26">
        <w:rPr>
          <w:b/>
          <w:bCs/>
          <w:szCs w:val="20"/>
        </w:rPr>
        <w:t>28</w:t>
      </w:r>
      <w:r w:rsidR="00DC760B" w:rsidRPr="00B76D26">
        <w:rPr>
          <w:szCs w:val="20"/>
        </w:rPr>
        <w:t>-</w:t>
      </w:r>
      <w:r w:rsidR="00BE2422" w:rsidRPr="00B76D26">
        <w:rPr>
          <w:iCs w:val="0"/>
          <w:szCs w:val="20"/>
        </w:rPr>
        <w:t>19</w:t>
      </w:r>
      <w:r w:rsidR="00DC760B" w:rsidRPr="00B76D26">
        <w:rPr>
          <w:szCs w:val="20"/>
        </w:rPr>
        <w:t xml:space="preserve">. </w:t>
      </w:r>
      <w:r w:rsidR="00BE2422" w:rsidRPr="00B76D26">
        <w:rPr>
          <w:b/>
        </w:rPr>
        <w:t>Industrial production index</w:t>
      </w:r>
    </w:p>
    <w:p w:rsidR="0077412B" w:rsidRDefault="00BE2422">
      <w:pPr>
        <w:spacing w:before="120"/>
        <w:ind w:firstLine="709"/>
        <w:jc w:val="both"/>
        <w:rPr>
          <w:rFonts w:ascii="Arial" w:hAnsi="Arial" w:cs="Arial"/>
          <w:i/>
          <w:iCs/>
          <w:sz w:val="20"/>
          <w:szCs w:val="20"/>
          <w:lang w:val="en-GB"/>
        </w:rPr>
      </w:pPr>
      <w:r w:rsidRPr="00F4624C">
        <w:rPr>
          <w:rFonts w:ascii="Arial" w:hAnsi="Arial" w:cs="Arial"/>
          <w:i/>
          <w:iCs/>
          <w:sz w:val="20"/>
          <w:szCs w:val="20"/>
          <w:lang w:val="en-GB"/>
        </w:rPr>
        <w:t>The</w:t>
      </w:r>
      <w:r w:rsidR="00B76D26">
        <w:rPr>
          <w:rFonts w:ascii="Arial" w:hAnsi="Arial" w:cs="Arial"/>
          <w:i/>
          <w:iCs/>
          <w:sz w:val="20"/>
          <w:szCs w:val="20"/>
          <w:lang w:val="en-GB"/>
        </w:rPr>
        <w:t> </w:t>
      </w:r>
      <w:r w:rsidRPr="00F4624C">
        <w:rPr>
          <w:rFonts w:ascii="Arial" w:hAnsi="Arial" w:cs="Arial"/>
          <w:i/>
          <w:iCs/>
          <w:sz w:val="20"/>
          <w:szCs w:val="20"/>
          <w:lang w:val="en-GB"/>
        </w:rPr>
        <w:t>industrial production index shows</w:t>
      </w:r>
      <w:r w:rsidR="007D63F9">
        <w:rPr>
          <w:rFonts w:ascii="Arial" w:hAnsi="Arial" w:cs="Arial"/>
          <w:i/>
          <w:iCs/>
          <w:sz w:val="20"/>
          <w:szCs w:val="20"/>
          <w:lang w:val="en-GB"/>
        </w:rPr>
        <w:t xml:space="preserve"> the </w:t>
      </w:r>
      <w:r w:rsidRPr="00F4624C">
        <w:rPr>
          <w:rFonts w:ascii="Arial" w:hAnsi="Arial" w:cs="Arial"/>
          <w:i/>
          <w:iCs/>
          <w:sz w:val="20"/>
          <w:szCs w:val="20"/>
          <w:lang w:val="en-GB"/>
        </w:rPr>
        <w:t>output and activity of</w:t>
      </w:r>
      <w:r w:rsidR="007D63F9">
        <w:rPr>
          <w:rFonts w:ascii="Arial" w:hAnsi="Arial" w:cs="Arial"/>
          <w:i/>
          <w:iCs/>
          <w:sz w:val="20"/>
          <w:szCs w:val="20"/>
          <w:lang w:val="en-GB"/>
        </w:rPr>
        <w:t xml:space="preserve"> the </w:t>
      </w:r>
      <w:r w:rsidRPr="00F4624C">
        <w:rPr>
          <w:rFonts w:ascii="Arial" w:hAnsi="Arial" w:cs="Arial"/>
          <w:i/>
          <w:iCs/>
          <w:sz w:val="20"/>
          <w:szCs w:val="20"/>
          <w:lang w:val="en-GB"/>
        </w:rPr>
        <w:t>industry sector (m</w:t>
      </w:r>
      <w:r w:rsidR="00B76D26">
        <w:rPr>
          <w:rFonts w:ascii="Arial" w:hAnsi="Arial" w:cs="Arial"/>
          <w:i/>
          <w:iCs/>
          <w:sz w:val="20"/>
          <w:szCs w:val="20"/>
          <w:lang w:val="en-GB"/>
        </w:rPr>
        <w:t>ining and </w:t>
      </w:r>
      <w:r w:rsidRPr="00F4624C">
        <w:rPr>
          <w:rFonts w:ascii="Arial" w:hAnsi="Arial" w:cs="Arial"/>
          <w:i/>
          <w:iCs/>
          <w:sz w:val="20"/>
          <w:szCs w:val="20"/>
          <w:lang w:val="en-GB"/>
        </w:rPr>
        <w:t>quarrying; manufacturi</w:t>
      </w:r>
      <w:r w:rsidR="00B76D26">
        <w:rPr>
          <w:rFonts w:ascii="Arial" w:hAnsi="Arial" w:cs="Arial"/>
          <w:i/>
          <w:iCs/>
          <w:sz w:val="20"/>
          <w:szCs w:val="20"/>
          <w:lang w:val="en-GB"/>
        </w:rPr>
        <w:t>ng; electricity, gas, steam and </w:t>
      </w:r>
      <w:r w:rsidRPr="00F4624C">
        <w:rPr>
          <w:rFonts w:ascii="Arial" w:hAnsi="Arial" w:cs="Arial"/>
          <w:i/>
          <w:iCs/>
          <w:sz w:val="20"/>
          <w:szCs w:val="20"/>
          <w:lang w:val="en-GB"/>
        </w:rPr>
        <w:t>air conditioning supply – sections B, C</w:t>
      </w:r>
      <w:r w:rsidR="00E6026B" w:rsidRPr="00F4624C">
        <w:rPr>
          <w:rFonts w:ascii="Arial" w:hAnsi="Arial" w:cs="Arial"/>
          <w:i/>
          <w:iCs/>
          <w:sz w:val="20"/>
          <w:szCs w:val="20"/>
          <w:lang w:val="en-GB"/>
        </w:rPr>
        <w:t>,</w:t>
      </w:r>
      <w:r w:rsidRPr="00F4624C">
        <w:rPr>
          <w:rFonts w:ascii="Arial" w:hAnsi="Arial" w:cs="Arial"/>
          <w:i/>
          <w:iCs/>
          <w:sz w:val="20"/>
          <w:szCs w:val="20"/>
          <w:lang w:val="en-GB"/>
        </w:rPr>
        <w:t xml:space="preserve"> and</w:t>
      </w:r>
      <w:r w:rsidR="00B76D26">
        <w:rPr>
          <w:rFonts w:ascii="Arial" w:hAnsi="Arial" w:cs="Arial"/>
          <w:i/>
          <w:iCs/>
          <w:sz w:val="20"/>
          <w:szCs w:val="20"/>
          <w:lang w:val="en-GB"/>
        </w:rPr>
        <w:t> </w:t>
      </w:r>
      <w:r w:rsidRPr="00F4624C">
        <w:rPr>
          <w:rFonts w:ascii="Arial" w:hAnsi="Arial" w:cs="Arial"/>
          <w:i/>
          <w:iCs/>
          <w:sz w:val="20"/>
          <w:szCs w:val="20"/>
          <w:lang w:val="en-GB"/>
        </w:rPr>
        <w:t xml:space="preserve">D </w:t>
      </w:r>
      <w:r w:rsidR="00E6026B" w:rsidRPr="00F4624C">
        <w:rPr>
          <w:rFonts w:ascii="Arial" w:hAnsi="Arial" w:cs="Arial"/>
          <w:i/>
          <w:iCs/>
          <w:sz w:val="20"/>
          <w:szCs w:val="20"/>
          <w:lang w:val="en-GB"/>
        </w:rPr>
        <w:t>according</w:t>
      </w:r>
      <w:r w:rsidRPr="00F4624C">
        <w:rPr>
          <w:rFonts w:ascii="Arial" w:hAnsi="Arial" w:cs="Arial"/>
          <w:i/>
          <w:iCs/>
          <w:sz w:val="20"/>
          <w:szCs w:val="20"/>
          <w:lang w:val="en-GB"/>
        </w:rPr>
        <w:t xml:space="preserve"> to</w:t>
      </w:r>
      <w:r w:rsidR="007D63F9">
        <w:rPr>
          <w:rFonts w:ascii="Arial" w:hAnsi="Arial" w:cs="Arial"/>
          <w:i/>
          <w:iCs/>
          <w:sz w:val="20"/>
          <w:szCs w:val="20"/>
          <w:lang w:val="en-GB"/>
        </w:rPr>
        <w:t xml:space="preserve"> the </w:t>
      </w:r>
      <w:r w:rsidR="00B76D26">
        <w:rPr>
          <w:rFonts w:ascii="Arial" w:hAnsi="Arial" w:cs="Arial"/>
          <w:i/>
          <w:iCs/>
          <w:sz w:val="20"/>
          <w:szCs w:val="20"/>
          <w:lang w:val="en-GB"/>
        </w:rPr>
        <w:t>NACE Rev. </w:t>
      </w:r>
      <w:r w:rsidRPr="00F4624C">
        <w:rPr>
          <w:rFonts w:ascii="Arial" w:hAnsi="Arial" w:cs="Arial"/>
          <w:i/>
          <w:iCs/>
          <w:sz w:val="20"/>
          <w:szCs w:val="20"/>
          <w:lang w:val="en-GB"/>
        </w:rPr>
        <w:t>2</w:t>
      </w:r>
      <w:r w:rsidR="00E6026B" w:rsidRPr="00F4624C">
        <w:rPr>
          <w:rFonts w:ascii="Arial" w:hAnsi="Arial" w:cs="Arial"/>
          <w:i/>
          <w:iCs/>
          <w:sz w:val="20"/>
          <w:szCs w:val="20"/>
          <w:lang w:val="en-GB"/>
        </w:rPr>
        <w:t xml:space="preserve"> classification</w:t>
      </w:r>
      <w:r w:rsidRPr="00F4624C">
        <w:rPr>
          <w:rFonts w:ascii="Arial" w:hAnsi="Arial" w:cs="Arial"/>
          <w:i/>
          <w:iCs/>
          <w:sz w:val="20"/>
          <w:szCs w:val="20"/>
          <w:lang w:val="en-GB"/>
        </w:rPr>
        <w:t>)</w:t>
      </w:r>
      <w:r w:rsidR="00B76D26">
        <w:rPr>
          <w:rFonts w:ascii="Arial" w:hAnsi="Arial" w:cs="Arial"/>
          <w:i/>
          <w:iCs/>
          <w:sz w:val="20"/>
          <w:szCs w:val="20"/>
          <w:lang w:val="en-GB"/>
        </w:rPr>
        <w:t>. It </w:t>
      </w:r>
      <w:r w:rsidRPr="00F4624C">
        <w:rPr>
          <w:rFonts w:ascii="Arial" w:hAnsi="Arial" w:cs="Arial"/>
          <w:i/>
          <w:iCs/>
          <w:sz w:val="20"/>
          <w:szCs w:val="20"/>
          <w:lang w:val="en-GB"/>
        </w:rPr>
        <w:t>measures changes in</w:t>
      </w:r>
      <w:r w:rsidR="007D63F9">
        <w:rPr>
          <w:rFonts w:ascii="Arial" w:hAnsi="Arial" w:cs="Arial"/>
          <w:i/>
          <w:iCs/>
          <w:sz w:val="20"/>
          <w:szCs w:val="20"/>
          <w:lang w:val="en-GB"/>
        </w:rPr>
        <w:t xml:space="preserve"> the </w:t>
      </w:r>
      <w:r w:rsidRPr="00F4624C">
        <w:rPr>
          <w:rFonts w:ascii="Arial" w:hAnsi="Arial" w:cs="Arial"/>
          <w:i/>
          <w:iCs/>
          <w:sz w:val="20"/>
          <w:szCs w:val="20"/>
          <w:lang w:val="en-GB"/>
        </w:rPr>
        <w:t>volume of output on</w:t>
      </w:r>
      <w:r w:rsidR="00B76D26">
        <w:rPr>
          <w:rFonts w:ascii="Arial" w:hAnsi="Arial" w:cs="Arial"/>
          <w:i/>
          <w:iCs/>
          <w:sz w:val="20"/>
          <w:szCs w:val="20"/>
          <w:lang w:val="en-GB"/>
        </w:rPr>
        <w:t> </w:t>
      </w:r>
      <w:r w:rsidR="007D63F9">
        <w:rPr>
          <w:rFonts w:ascii="Arial" w:hAnsi="Arial" w:cs="Arial"/>
          <w:i/>
          <w:iCs/>
          <w:sz w:val="20"/>
          <w:szCs w:val="20"/>
          <w:lang w:val="en-GB"/>
        </w:rPr>
        <w:t>a </w:t>
      </w:r>
      <w:r w:rsidRPr="00F4624C">
        <w:rPr>
          <w:rFonts w:ascii="Arial" w:hAnsi="Arial" w:cs="Arial"/>
          <w:i/>
          <w:iCs/>
          <w:sz w:val="20"/>
          <w:szCs w:val="20"/>
          <w:lang w:val="en-GB"/>
        </w:rPr>
        <w:t>monthly basis. Industrial production is compiled as</w:t>
      </w:r>
      <w:r w:rsidR="007D63F9">
        <w:rPr>
          <w:rFonts w:ascii="Arial" w:hAnsi="Arial" w:cs="Arial"/>
          <w:i/>
          <w:iCs/>
          <w:sz w:val="20"/>
          <w:szCs w:val="20"/>
          <w:lang w:val="en-GB"/>
        </w:rPr>
        <w:t xml:space="preserve"> a </w:t>
      </w:r>
      <w:r w:rsidRPr="00F4624C">
        <w:rPr>
          <w:rFonts w:ascii="Arial" w:hAnsi="Arial" w:cs="Arial"/>
          <w:i/>
          <w:iCs/>
          <w:sz w:val="20"/>
          <w:szCs w:val="20"/>
          <w:lang w:val="en-GB"/>
        </w:rPr>
        <w:t>fixed base year Laspeyres type volume</w:t>
      </w:r>
      <w:r w:rsidR="00E6026B" w:rsidRPr="00F4624C">
        <w:rPr>
          <w:rFonts w:ascii="Arial" w:hAnsi="Arial" w:cs="Arial"/>
          <w:i/>
          <w:iCs/>
          <w:sz w:val="20"/>
          <w:szCs w:val="20"/>
          <w:lang w:val="en-GB"/>
        </w:rPr>
        <w:t xml:space="preserve"> </w:t>
      </w:r>
      <w:r w:rsidRPr="00F4624C">
        <w:rPr>
          <w:rFonts w:ascii="Arial" w:hAnsi="Arial" w:cs="Arial"/>
          <w:i/>
          <w:iCs/>
          <w:sz w:val="20"/>
          <w:szCs w:val="20"/>
          <w:lang w:val="en-GB"/>
        </w:rPr>
        <w:t>index</w:t>
      </w:r>
      <w:r w:rsidR="007D63F9">
        <w:rPr>
          <w:rFonts w:ascii="Arial" w:hAnsi="Arial" w:cs="Arial"/>
          <w:i/>
          <w:iCs/>
          <w:sz w:val="20"/>
          <w:szCs w:val="20"/>
          <w:lang w:val="en-GB"/>
        </w:rPr>
        <w:t>. The </w:t>
      </w:r>
      <w:r w:rsidR="00B76D26">
        <w:rPr>
          <w:rFonts w:ascii="Arial" w:hAnsi="Arial" w:cs="Arial"/>
          <w:i/>
          <w:iCs/>
          <w:sz w:val="20"/>
          <w:szCs w:val="20"/>
          <w:lang w:val="en-GB"/>
        </w:rPr>
        <w:t>current base year is </w:t>
      </w:r>
      <w:r w:rsidRPr="00F4624C">
        <w:rPr>
          <w:rFonts w:ascii="Arial" w:hAnsi="Arial" w:cs="Arial"/>
          <w:i/>
          <w:iCs/>
          <w:sz w:val="20"/>
          <w:szCs w:val="20"/>
          <w:lang w:val="en-GB"/>
        </w:rPr>
        <w:t>2010 (</w:t>
      </w:r>
      <w:r w:rsidR="00073530" w:rsidRPr="00F4624C">
        <w:rPr>
          <w:rFonts w:ascii="Arial" w:hAnsi="Arial" w:cs="Arial"/>
          <w:i/>
          <w:iCs/>
          <w:sz w:val="20"/>
          <w:szCs w:val="20"/>
          <w:lang w:val="en-GB"/>
        </w:rPr>
        <w:t>i</w:t>
      </w:r>
      <w:r w:rsidR="00B76D26">
        <w:rPr>
          <w:rFonts w:ascii="Arial" w:hAnsi="Arial" w:cs="Arial"/>
          <w:i/>
          <w:iCs/>
          <w:sz w:val="20"/>
          <w:szCs w:val="20"/>
          <w:lang w:val="en-GB"/>
        </w:rPr>
        <w:t>ndex 2010 = </w:t>
      </w:r>
      <w:r w:rsidRPr="00F4624C">
        <w:rPr>
          <w:rFonts w:ascii="Arial" w:hAnsi="Arial" w:cs="Arial"/>
          <w:i/>
          <w:iCs/>
          <w:sz w:val="20"/>
          <w:szCs w:val="20"/>
          <w:lang w:val="en-GB"/>
        </w:rPr>
        <w:t>100). The</w:t>
      </w:r>
      <w:r w:rsidR="00B76D26">
        <w:rPr>
          <w:rFonts w:ascii="Arial" w:hAnsi="Arial" w:cs="Arial"/>
          <w:i/>
          <w:iCs/>
          <w:sz w:val="20"/>
          <w:szCs w:val="20"/>
          <w:lang w:val="en-GB"/>
        </w:rPr>
        <w:t> </w:t>
      </w:r>
      <w:r w:rsidRPr="00F4624C">
        <w:rPr>
          <w:rFonts w:ascii="Arial" w:hAnsi="Arial" w:cs="Arial"/>
          <w:i/>
          <w:iCs/>
          <w:sz w:val="20"/>
          <w:szCs w:val="20"/>
          <w:lang w:val="en-GB"/>
        </w:rPr>
        <w:t>ind</w:t>
      </w:r>
      <w:r w:rsidR="00B76D26">
        <w:rPr>
          <w:rFonts w:ascii="Arial" w:hAnsi="Arial" w:cs="Arial"/>
          <w:i/>
          <w:iCs/>
          <w:sz w:val="20"/>
          <w:szCs w:val="20"/>
          <w:lang w:val="en-GB"/>
        </w:rPr>
        <w:t>ex is presented in calendar and </w:t>
      </w:r>
      <w:r w:rsidRPr="00F4624C">
        <w:rPr>
          <w:rFonts w:ascii="Arial" w:hAnsi="Arial" w:cs="Arial"/>
          <w:i/>
          <w:iCs/>
          <w:sz w:val="20"/>
          <w:szCs w:val="20"/>
          <w:lang w:val="en-GB"/>
        </w:rPr>
        <w:t>seasonally adjusted form.</w:t>
      </w:r>
    </w:p>
    <w:p w:rsidR="00F4624C" w:rsidRDefault="00F4624C" w:rsidP="00F4624C">
      <w:pPr>
        <w:jc w:val="both"/>
        <w:rPr>
          <w:rFonts w:ascii="Arial" w:hAnsi="Arial" w:cs="Arial"/>
          <w:i/>
          <w:iCs/>
          <w:sz w:val="20"/>
          <w:szCs w:val="20"/>
          <w:lang w:val="en-GB"/>
        </w:rPr>
      </w:pPr>
    </w:p>
    <w:p w:rsidR="00F4624C" w:rsidRPr="00F4624C" w:rsidRDefault="00F4624C" w:rsidP="00F4624C">
      <w:pPr>
        <w:jc w:val="both"/>
        <w:rPr>
          <w:rFonts w:ascii="Arial" w:hAnsi="Arial" w:cs="Arial"/>
          <w:i/>
          <w:iCs/>
          <w:sz w:val="20"/>
          <w:szCs w:val="20"/>
          <w:lang w:val="en-GB"/>
        </w:rPr>
      </w:pPr>
    </w:p>
    <w:p w:rsidR="00951BDF" w:rsidRPr="00F4624C" w:rsidRDefault="006A1C15" w:rsidP="00FC7F0D">
      <w:pPr>
        <w:jc w:val="center"/>
        <w:rPr>
          <w:rFonts w:ascii="Arial" w:hAnsi="Arial" w:cs="Arial"/>
          <w:i/>
          <w:iCs/>
          <w:sz w:val="20"/>
          <w:szCs w:val="20"/>
          <w:lang w:val="en-GB"/>
        </w:rPr>
      </w:pPr>
      <w:r w:rsidRPr="00F4624C">
        <w:rPr>
          <w:rFonts w:ascii="Arial" w:hAnsi="Arial" w:cs="Arial"/>
          <w:i/>
          <w:iCs/>
          <w:sz w:val="20"/>
          <w:szCs w:val="20"/>
          <w:lang w:val="en-GB"/>
        </w:rPr>
        <w:t>*          *          *</w:t>
      </w:r>
    </w:p>
    <w:p w:rsidR="00951BDF" w:rsidRPr="00F4624C" w:rsidRDefault="00951BDF" w:rsidP="00E700B9">
      <w:pPr>
        <w:rPr>
          <w:rFonts w:ascii="Arial" w:hAnsi="Arial" w:cs="Arial"/>
          <w:i/>
          <w:iCs/>
          <w:sz w:val="20"/>
          <w:szCs w:val="20"/>
          <w:lang w:val="en-GB"/>
        </w:rPr>
      </w:pPr>
    </w:p>
    <w:p w:rsidR="00951BDF" w:rsidRPr="00F4624C" w:rsidRDefault="00951BDF" w:rsidP="00E700B9">
      <w:pPr>
        <w:rPr>
          <w:rFonts w:ascii="Arial" w:hAnsi="Arial" w:cs="Arial"/>
          <w:i/>
          <w:iCs/>
          <w:sz w:val="20"/>
          <w:szCs w:val="20"/>
          <w:lang w:val="en-GB"/>
        </w:rPr>
      </w:pPr>
    </w:p>
    <w:p w:rsidR="002B68DD" w:rsidRPr="00F4624C" w:rsidRDefault="00BE2422" w:rsidP="00DE492E">
      <w:pPr>
        <w:pStyle w:val="Zkladntext3"/>
        <w:spacing w:before="0"/>
        <w:ind w:firstLine="709"/>
        <w:rPr>
          <w:szCs w:val="20"/>
        </w:rPr>
      </w:pPr>
      <w:r w:rsidRPr="00F4624C">
        <w:rPr>
          <w:szCs w:val="20"/>
        </w:rPr>
        <w:t>Further data can be found on the website of the Czech Statistical Office at:</w:t>
      </w:r>
    </w:p>
    <w:p w:rsidR="00BE2422" w:rsidRPr="00F4624C" w:rsidRDefault="00BE2422" w:rsidP="00BE2422">
      <w:pPr>
        <w:pStyle w:val="Zkladntext3"/>
        <w:rPr>
          <w:i w:val="0"/>
          <w:szCs w:val="20"/>
        </w:rPr>
      </w:pPr>
      <w:r w:rsidRPr="00F4624C">
        <w:rPr>
          <w:i w:val="0"/>
        </w:rPr>
        <w:t>– </w:t>
      </w:r>
      <w:hyperlink r:id="rId8" w:history="1">
        <w:r w:rsidRPr="00F4624C">
          <w:rPr>
            <w:rStyle w:val="Hypertextovodkaz"/>
            <w:i w:val="0"/>
            <w:szCs w:val="20"/>
          </w:rPr>
          <w:t>www.czso.cz/csu/czso/eu</w:t>
        </w:r>
        <w:r w:rsidRPr="00F4624C">
          <w:rPr>
            <w:rStyle w:val="Hypertextovodkaz"/>
            <w:i w:val="0"/>
            <w:szCs w:val="20"/>
          </w:rPr>
          <w:t>r</w:t>
        </w:r>
        <w:r w:rsidRPr="00F4624C">
          <w:rPr>
            <w:rStyle w:val="Hypertextovodkaz"/>
            <w:i w:val="0"/>
            <w:szCs w:val="20"/>
          </w:rPr>
          <w:t>opean_data_esds_eu</w:t>
        </w:r>
      </w:hyperlink>
      <w:r w:rsidRPr="00F4624C">
        <w:rPr>
          <w:i w:val="0"/>
          <w:szCs w:val="20"/>
        </w:rPr>
        <w:t xml:space="preserve"> </w:t>
      </w:r>
    </w:p>
    <w:p w:rsidR="002B68DD" w:rsidRPr="00F4624C" w:rsidRDefault="00BE2422" w:rsidP="00155E82">
      <w:pPr>
        <w:pStyle w:val="Zkladntext3"/>
        <w:ind w:firstLine="709"/>
        <w:rPr>
          <w:szCs w:val="20"/>
        </w:rPr>
      </w:pPr>
      <w:r w:rsidRPr="00F4624C">
        <w:rPr>
          <w:szCs w:val="20"/>
        </w:rPr>
        <w:t>A complete database of comparison indicators for the EU can be found on the web</w:t>
      </w:r>
      <w:r w:rsidR="00C0757B" w:rsidRPr="00F4624C">
        <w:rPr>
          <w:szCs w:val="20"/>
        </w:rPr>
        <w:t>site</w:t>
      </w:r>
      <w:r w:rsidRPr="00F4624C">
        <w:rPr>
          <w:szCs w:val="20"/>
        </w:rPr>
        <w:t xml:space="preserve"> of Eurostat at:</w:t>
      </w:r>
    </w:p>
    <w:p w:rsidR="001653E2" w:rsidRPr="007D63F9" w:rsidRDefault="001653E2" w:rsidP="00BE2422">
      <w:pPr>
        <w:pStyle w:val="Zkladntext3"/>
        <w:rPr>
          <w:i w:val="0"/>
        </w:rPr>
      </w:pPr>
      <w:r w:rsidRPr="007D63F9">
        <w:rPr>
          <w:i w:val="0"/>
        </w:rPr>
        <w:t>– </w:t>
      </w:r>
      <w:hyperlink r:id="rId9" w:history="1">
        <w:r w:rsidRPr="007D63F9">
          <w:rPr>
            <w:rStyle w:val="Hypertextovodkaz"/>
            <w:i w:val="0"/>
          </w:rPr>
          <w:t>ec.europa.</w:t>
        </w:r>
        <w:r w:rsidRPr="007D63F9">
          <w:rPr>
            <w:rStyle w:val="Hypertextovodkaz"/>
            <w:i w:val="0"/>
          </w:rPr>
          <w:t>e</w:t>
        </w:r>
        <w:r w:rsidRPr="007D63F9">
          <w:rPr>
            <w:rStyle w:val="Hypertextovodkaz"/>
            <w:i w:val="0"/>
          </w:rPr>
          <w:t>u/eurostat</w:t>
        </w:r>
      </w:hyperlink>
    </w:p>
    <w:p w:rsidR="00C545F0" w:rsidRDefault="00C545F0" w:rsidP="00C545F0">
      <w:pPr>
        <w:rPr>
          <w:rFonts w:ascii="Arial" w:hAnsi="Arial" w:cs="Arial"/>
          <w:i/>
          <w:iCs/>
          <w:sz w:val="20"/>
          <w:szCs w:val="20"/>
          <w:lang w:val="en-GB"/>
        </w:rPr>
      </w:pPr>
    </w:p>
    <w:p w:rsidR="007D63F9" w:rsidRDefault="007D63F9" w:rsidP="00C545F0">
      <w:pPr>
        <w:rPr>
          <w:rFonts w:ascii="Arial" w:hAnsi="Arial" w:cs="Arial"/>
          <w:i/>
          <w:iCs/>
          <w:sz w:val="20"/>
          <w:szCs w:val="20"/>
          <w:lang w:val="en-GB"/>
        </w:rPr>
      </w:pPr>
    </w:p>
    <w:p w:rsidR="00F4624C" w:rsidRDefault="00F4624C" w:rsidP="00C545F0">
      <w:pPr>
        <w:rPr>
          <w:rFonts w:ascii="Arial" w:hAnsi="Arial" w:cs="Arial"/>
          <w:i/>
          <w:iCs/>
          <w:sz w:val="20"/>
          <w:szCs w:val="20"/>
          <w:lang w:val="en-GB"/>
        </w:rPr>
      </w:pPr>
    </w:p>
    <w:p w:rsidR="00F4624C" w:rsidRPr="00F4624C" w:rsidRDefault="00F4624C" w:rsidP="00C545F0">
      <w:pPr>
        <w:rPr>
          <w:rFonts w:ascii="Arial" w:hAnsi="Arial" w:cs="Arial"/>
          <w:i/>
          <w:iCs/>
          <w:sz w:val="20"/>
          <w:szCs w:val="20"/>
          <w:lang w:val="en-GB"/>
        </w:rPr>
      </w:pPr>
    </w:p>
    <w:tbl>
      <w:tblPr>
        <w:tblW w:w="0" w:type="auto"/>
        <w:tblInd w:w="40" w:type="dxa"/>
        <w:tblCellMar>
          <w:left w:w="70" w:type="dxa"/>
          <w:right w:w="70" w:type="dxa"/>
        </w:tblCellMar>
        <w:tblLook w:val="04A0"/>
      </w:tblPr>
      <w:tblGrid>
        <w:gridCol w:w="1355"/>
        <w:gridCol w:w="1235"/>
        <w:gridCol w:w="1341"/>
        <w:gridCol w:w="2647"/>
        <w:gridCol w:w="1230"/>
        <w:gridCol w:w="1362"/>
      </w:tblGrid>
      <w:tr w:rsidR="006A7577" w:rsidRPr="00F4624C" w:rsidTr="00157ECD">
        <w:trPr>
          <w:trHeight w:val="300"/>
        </w:trPr>
        <w:tc>
          <w:tcPr>
            <w:tcW w:w="0" w:type="auto"/>
            <w:gridSpan w:val="6"/>
            <w:tcBorders>
              <w:top w:val="nil"/>
              <w:left w:val="nil"/>
              <w:bottom w:val="nil"/>
              <w:right w:val="nil"/>
            </w:tcBorders>
            <w:shd w:val="clear" w:color="auto" w:fill="auto"/>
            <w:hideMark/>
          </w:tcPr>
          <w:p w:rsidR="006A7577" w:rsidRPr="00F4624C" w:rsidRDefault="00B76D26" w:rsidP="00B76D26">
            <w:pPr>
              <w:rPr>
                <w:rFonts w:ascii="Arial" w:hAnsi="Arial" w:cs="Arial"/>
                <w:i/>
                <w:iCs/>
                <w:color w:val="000000"/>
                <w:sz w:val="20"/>
                <w:szCs w:val="20"/>
                <w:lang w:val="en-GB"/>
              </w:rPr>
            </w:pPr>
            <w:r>
              <w:rPr>
                <w:rFonts w:ascii="Arial" w:hAnsi="Arial" w:cs="Arial"/>
                <w:i/>
                <w:iCs/>
                <w:color w:val="000000"/>
                <w:sz w:val="20"/>
                <w:szCs w:val="20"/>
                <w:lang w:val="en-GB"/>
              </w:rPr>
              <w:lastRenderedPageBreak/>
              <w:t xml:space="preserve">Czech and </w:t>
            </w:r>
            <w:r w:rsidR="00BE2422" w:rsidRPr="00F4624C">
              <w:rPr>
                <w:rFonts w:ascii="Arial" w:hAnsi="Arial" w:cs="Arial"/>
                <w:i/>
                <w:iCs/>
                <w:color w:val="000000"/>
                <w:sz w:val="20"/>
                <w:szCs w:val="20"/>
                <w:lang w:val="en-GB"/>
              </w:rPr>
              <w:t>English names of the</w:t>
            </w:r>
            <w:r>
              <w:rPr>
                <w:rFonts w:ascii="Arial" w:hAnsi="Arial" w:cs="Arial"/>
                <w:i/>
                <w:iCs/>
                <w:color w:val="000000"/>
                <w:sz w:val="20"/>
                <w:szCs w:val="20"/>
                <w:lang w:val="en-GB"/>
              </w:rPr>
              <w:t xml:space="preserve"> </w:t>
            </w:r>
            <w:r w:rsidR="00BE2422" w:rsidRPr="00F4624C">
              <w:rPr>
                <w:rFonts w:ascii="Arial" w:hAnsi="Arial" w:cs="Arial"/>
                <w:i/>
                <w:iCs/>
                <w:color w:val="000000"/>
                <w:sz w:val="20"/>
                <w:szCs w:val="20"/>
                <w:lang w:val="en-GB"/>
              </w:rPr>
              <w:t>countries:</w:t>
            </w:r>
          </w:p>
        </w:tc>
      </w:tr>
      <w:tr w:rsidR="006A7577" w:rsidRPr="00F4624C" w:rsidTr="00157ECD">
        <w:trPr>
          <w:trHeight w:val="300"/>
        </w:trPr>
        <w:tc>
          <w:tcPr>
            <w:tcW w:w="0" w:type="auto"/>
            <w:tcBorders>
              <w:top w:val="nil"/>
              <w:left w:val="nil"/>
              <w:bottom w:val="nil"/>
              <w:right w:val="nil"/>
            </w:tcBorders>
            <w:shd w:val="clear" w:color="auto" w:fill="auto"/>
            <w:hideMark/>
          </w:tcPr>
          <w:p w:rsidR="006A7577" w:rsidRPr="00F4624C" w:rsidRDefault="006A7577">
            <w:pPr>
              <w:rPr>
                <w:rFonts w:ascii="Arial" w:hAnsi="Arial" w:cs="Arial"/>
                <w:i/>
                <w:iCs/>
                <w:color w:val="000000"/>
                <w:sz w:val="20"/>
                <w:szCs w:val="20"/>
                <w:lang w:val="en-GB"/>
              </w:rPr>
            </w:pPr>
          </w:p>
        </w:tc>
        <w:tc>
          <w:tcPr>
            <w:tcW w:w="0" w:type="auto"/>
            <w:tcBorders>
              <w:top w:val="nil"/>
              <w:left w:val="nil"/>
              <w:bottom w:val="nil"/>
              <w:right w:val="nil"/>
            </w:tcBorders>
            <w:shd w:val="clear" w:color="auto" w:fill="auto"/>
            <w:hideMark/>
          </w:tcPr>
          <w:p w:rsidR="006A7577" w:rsidRPr="00F4624C" w:rsidRDefault="006A7577">
            <w:pPr>
              <w:rPr>
                <w:rFonts w:ascii="Arial" w:hAnsi="Arial" w:cs="Arial"/>
                <w:i/>
                <w:iCs/>
                <w:color w:val="000000"/>
                <w:sz w:val="20"/>
                <w:szCs w:val="20"/>
                <w:lang w:val="en-GB"/>
              </w:rPr>
            </w:pPr>
          </w:p>
        </w:tc>
        <w:tc>
          <w:tcPr>
            <w:tcW w:w="0" w:type="auto"/>
            <w:tcBorders>
              <w:top w:val="nil"/>
              <w:left w:val="nil"/>
              <w:bottom w:val="nil"/>
              <w:right w:val="nil"/>
            </w:tcBorders>
            <w:shd w:val="clear" w:color="auto" w:fill="auto"/>
            <w:hideMark/>
          </w:tcPr>
          <w:p w:rsidR="006A7577" w:rsidRPr="00F4624C" w:rsidRDefault="006A7577">
            <w:pPr>
              <w:rPr>
                <w:rFonts w:ascii="Arial" w:hAnsi="Arial" w:cs="Arial"/>
                <w:i/>
                <w:iCs/>
                <w:color w:val="000000"/>
                <w:sz w:val="20"/>
                <w:szCs w:val="20"/>
                <w:lang w:val="en-GB"/>
              </w:rPr>
            </w:pPr>
          </w:p>
        </w:tc>
        <w:tc>
          <w:tcPr>
            <w:tcW w:w="0" w:type="auto"/>
            <w:tcBorders>
              <w:top w:val="nil"/>
              <w:left w:val="nil"/>
              <w:bottom w:val="nil"/>
              <w:right w:val="nil"/>
            </w:tcBorders>
            <w:shd w:val="clear" w:color="auto" w:fill="auto"/>
            <w:hideMark/>
          </w:tcPr>
          <w:p w:rsidR="006A7577" w:rsidRPr="00F4624C" w:rsidRDefault="006A7577">
            <w:pPr>
              <w:rPr>
                <w:rFonts w:ascii="Arial" w:hAnsi="Arial" w:cs="Arial"/>
                <w:i/>
                <w:iCs/>
                <w:color w:val="000000"/>
                <w:sz w:val="20"/>
                <w:szCs w:val="20"/>
                <w:lang w:val="en-GB"/>
              </w:rPr>
            </w:pPr>
          </w:p>
        </w:tc>
        <w:tc>
          <w:tcPr>
            <w:tcW w:w="0" w:type="auto"/>
            <w:tcBorders>
              <w:top w:val="nil"/>
              <w:left w:val="nil"/>
              <w:bottom w:val="nil"/>
              <w:right w:val="nil"/>
            </w:tcBorders>
            <w:shd w:val="clear" w:color="auto" w:fill="auto"/>
            <w:hideMark/>
          </w:tcPr>
          <w:p w:rsidR="006A7577" w:rsidRPr="00F4624C" w:rsidRDefault="006A7577">
            <w:pPr>
              <w:rPr>
                <w:rFonts w:ascii="Arial" w:hAnsi="Arial" w:cs="Arial"/>
                <w:i/>
                <w:iCs/>
                <w:color w:val="000000"/>
                <w:sz w:val="20"/>
                <w:szCs w:val="20"/>
                <w:lang w:val="en-GB"/>
              </w:rPr>
            </w:pPr>
          </w:p>
        </w:tc>
        <w:tc>
          <w:tcPr>
            <w:tcW w:w="0" w:type="auto"/>
            <w:tcBorders>
              <w:top w:val="nil"/>
              <w:left w:val="nil"/>
              <w:bottom w:val="nil"/>
              <w:right w:val="nil"/>
            </w:tcBorders>
            <w:shd w:val="clear" w:color="auto" w:fill="auto"/>
            <w:hideMark/>
          </w:tcPr>
          <w:p w:rsidR="006A7577" w:rsidRPr="00F4624C" w:rsidRDefault="006A7577">
            <w:pPr>
              <w:rPr>
                <w:rFonts w:ascii="Arial" w:hAnsi="Arial" w:cs="Arial"/>
                <w:i/>
                <w:iCs/>
                <w:color w:val="000000"/>
                <w:sz w:val="20"/>
                <w:szCs w:val="20"/>
                <w:lang w:val="en-GB"/>
              </w:rPr>
            </w:pPr>
          </w:p>
        </w:tc>
      </w:tr>
      <w:tr w:rsidR="00157ECD" w:rsidRPr="00F4624C" w:rsidTr="00157ECD">
        <w:trPr>
          <w:trHeight w:val="293"/>
        </w:trPr>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Belgie</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Belgium</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Kypr</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Cyprus</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Rakousko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Austria</w:t>
            </w:r>
          </w:p>
        </w:tc>
      </w:tr>
      <w:tr w:rsidR="00157ECD" w:rsidRPr="00F4624C" w:rsidTr="00EB6759">
        <w:trPr>
          <w:trHeight w:val="279"/>
        </w:trPr>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Bulharsko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Bulgaria</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Litva</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Lithuania</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Rumunsko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Romania</w:t>
            </w:r>
          </w:p>
        </w:tc>
      </w:tr>
      <w:tr w:rsidR="00157ECD" w:rsidRPr="00F4624C" w:rsidTr="00EB6759">
        <w:trPr>
          <w:trHeight w:val="567"/>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 xml:space="preserve">Česká republika </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Czech Republic</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Lotyšsko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Latvia</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Řecko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Greece</w:t>
            </w:r>
          </w:p>
        </w:tc>
      </w:tr>
      <w:tr w:rsidR="00157ECD" w:rsidRPr="00F4624C" w:rsidTr="00EB6759">
        <w:trPr>
          <w:trHeight w:val="277"/>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Dánsko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Denmark</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Lucembursko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Luxembourg</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Slovensko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Slovakia</w:t>
            </w:r>
          </w:p>
        </w:tc>
      </w:tr>
      <w:tr w:rsidR="00157ECD" w:rsidRPr="00F4624C" w:rsidTr="00157ECD">
        <w:trPr>
          <w:trHeight w:val="327"/>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Estonsko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Estonia</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Maďarsko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Hungary</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Slovinsko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Slovenia</w:t>
            </w:r>
          </w:p>
        </w:tc>
      </w:tr>
      <w:tr w:rsidR="00157ECD" w:rsidRPr="00F4624C" w:rsidTr="00157ECD">
        <w:trPr>
          <w:trHeight w:val="510"/>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 xml:space="preserve">Finsko </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Finland</w:t>
            </w:r>
          </w:p>
        </w:tc>
        <w:tc>
          <w:tcPr>
            <w:tcW w:w="0" w:type="auto"/>
            <w:tcBorders>
              <w:top w:val="nil"/>
              <w:left w:val="nil"/>
              <w:bottom w:val="nil"/>
              <w:right w:val="nil"/>
            </w:tcBorders>
            <w:shd w:val="clear" w:color="auto" w:fill="auto"/>
            <w:hideMark/>
          </w:tcPr>
          <w:p w:rsidR="00157ECD" w:rsidRPr="00F4624C" w:rsidRDefault="00BE2422" w:rsidP="00157ECD">
            <w:pPr>
              <w:rPr>
                <w:rFonts w:ascii="Arial" w:hAnsi="Arial" w:cs="Arial"/>
                <w:iCs/>
                <w:color w:val="000000"/>
                <w:sz w:val="20"/>
                <w:szCs w:val="20"/>
                <w:lang w:val="en-GB"/>
              </w:rPr>
            </w:pPr>
            <w:r w:rsidRPr="00F4624C">
              <w:rPr>
                <w:rFonts w:ascii="Arial" w:hAnsi="Arial" w:cs="Arial"/>
                <w:iCs/>
                <w:color w:val="000000"/>
                <w:sz w:val="20"/>
                <w:szCs w:val="20"/>
                <w:lang w:val="en-GB"/>
              </w:rPr>
              <w:t>Makedonie</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Macedonia (the former Yugoslav Republic of)</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Spojené státy</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United States</w:t>
            </w:r>
          </w:p>
        </w:tc>
      </w:tr>
      <w:tr w:rsidR="00157ECD" w:rsidRPr="00F4624C" w:rsidTr="00EB6759">
        <w:trPr>
          <w:trHeight w:val="309"/>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Francie</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France</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Malta</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Malta</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Španělsko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Spain</w:t>
            </w:r>
          </w:p>
        </w:tc>
      </w:tr>
      <w:tr w:rsidR="00157ECD" w:rsidRPr="00F4624C" w:rsidTr="00157ECD">
        <w:trPr>
          <w:trHeight w:val="278"/>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Chorvatsko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Croatia</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Německo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Germany</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Švédsko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Sweden</w:t>
            </w:r>
          </w:p>
        </w:tc>
      </w:tr>
      <w:tr w:rsidR="00157ECD" w:rsidRPr="00F4624C" w:rsidTr="00157ECD">
        <w:trPr>
          <w:trHeight w:val="295"/>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Irsko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Ireland</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Nizozemsko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Netherlands</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Švýcarsko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Switzerland</w:t>
            </w:r>
          </w:p>
        </w:tc>
      </w:tr>
      <w:tr w:rsidR="00157ECD" w:rsidRPr="00F4624C" w:rsidTr="00157ECD">
        <w:trPr>
          <w:trHeight w:val="272"/>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Island</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Iceland</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Norsko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Norway</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Turecko</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Turkey</w:t>
            </w:r>
          </w:p>
        </w:tc>
      </w:tr>
      <w:tr w:rsidR="00157ECD" w:rsidRPr="00F4624C" w:rsidTr="00157ECD">
        <w:trPr>
          <w:trHeight w:val="300"/>
        </w:trPr>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Cs/>
                <w:color w:val="000000"/>
                <w:sz w:val="20"/>
                <w:szCs w:val="20"/>
                <w:lang w:val="en-GB"/>
              </w:rPr>
            </w:pPr>
            <w:r w:rsidRPr="00F4624C">
              <w:rPr>
                <w:rFonts w:ascii="Arial" w:hAnsi="Arial" w:cs="Arial"/>
                <w:iCs/>
                <w:color w:val="000000"/>
                <w:sz w:val="20"/>
                <w:szCs w:val="20"/>
                <w:lang w:val="en-GB"/>
              </w:rPr>
              <w:t>Itálie</w:t>
            </w:r>
          </w:p>
        </w:tc>
        <w:tc>
          <w:tcPr>
            <w:tcW w:w="0" w:type="auto"/>
            <w:tcBorders>
              <w:top w:val="nil"/>
              <w:left w:val="nil"/>
              <w:bottom w:val="nil"/>
              <w:right w:val="nil"/>
            </w:tcBorders>
            <w:shd w:val="clear" w:color="auto" w:fill="auto"/>
            <w:hideMark/>
          </w:tcPr>
          <w:p w:rsidR="00157ECD" w:rsidRPr="00F4624C" w:rsidRDefault="00BE2422" w:rsidP="00B03D0F">
            <w:pPr>
              <w:rPr>
                <w:rFonts w:ascii="Arial" w:hAnsi="Arial" w:cs="Arial"/>
                <w:i/>
                <w:iCs/>
                <w:color w:val="000000"/>
                <w:sz w:val="20"/>
                <w:szCs w:val="20"/>
                <w:lang w:val="en-GB"/>
              </w:rPr>
            </w:pPr>
            <w:r w:rsidRPr="00F4624C">
              <w:rPr>
                <w:rFonts w:ascii="Arial" w:hAnsi="Arial" w:cs="Arial"/>
                <w:i/>
                <w:iCs/>
                <w:color w:val="000000"/>
                <w:sz w:val="20"/>
                <w:szCs w:val="20"/>
                <w:lang w:val="en-GB"/>
              </w:rPr>
              <w:t>Italy</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Polsko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Poland</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Velká Británie</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United Kingdom</w:t>
            </w:r>
          </w:p>
        </w:tc>
      </w:tr>
      <w:tr w:rsidR="00157ECD" w:rsidRPr="00E6026B" w:rsidTr="00157ECD">
        <w:trPr>
          <w:trHeight w:val="510"/>
        </w:trPr>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Japonsko</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Japan</w:t>
            </w:r>
          </w:p>
        </w:tc>
        <w:tc>
          <w:tcPr>
            <w:tcW w:w="0" w:type="auto"/>
            <w:tcBorders>
              <w:top w:val="nil"/>
              <w:left w:val="nil"/>
              <w:bottom w:val="nil"/>
              <w:right w:val="nil"/>
            </w:tcBorders>
            <w:shd w:val="clear" w:color="auto" w:fill="auto"/>
            <w:hideMark/>
          </w:tcPr>
          <w:p w:rsidR="00157ECD" w:rsidRPr="00F4624C" w:rsidRDefault="00BE2422">
            <w:pPr>
              <w:rPr>
                <w:rFonts w:ascii="Arial" w:hAnsi="Arial" w:cs="Arial"/>
                <w:iCs/>
                <w:color w:val="000000"/>
                <w:sz w:val="20"/>
                <w:szCs w:val="20"/>
                <w:lang w:val="en-GB"/>
              </w:rPr>
            </w:pPr>
            <w:r w:rsidRPr="00F4624C">
              <w:rPr>
                <w:rFonts w:ascii="Arial" w:hAnsi="Arial" w:cs="Arial"/>
                <w:iCs/>
                <w:color w:val="000000"/>
                <w:sz w:val="20"/>
                <w:szCs w:val="20"/>
                <w:lang w:val="en-GB"/>
              </w:rPr>
              <w:t>Portugalsko</w:t>
            </w:r>
          </w:p>
        </w:tc>
        <w:tc>
          <w:tcPr>
            <w:tcW w:w="0" w:type="auto"/>
            <w:tcBorders>
              <w:top w:val="nil"/>
              <w:left w:val="nil"/>
              <w:bottom w:val="nil"/>
              <w:right w:val="nil"/>
            </w:tcBorders>
            <w:shd w:val="clear" w:color="auto" w:fill="auto"/>
            <w:hideMark/>
          </w:tcPr>
          <w:p w:rsidR="00157ECD" w:rsidRPr="00E6026B" w:rsidRDefault="00BE2422">
            <w:pPr>
              <w:rPr>
                <w:rFonts w:ascii="Arial" w:hAnsi="Arial" w:cs="Arial"/>
                <w:i/>
                <w:iCs/>
                <w:color w:val="000000"/>
                <w:sz w:val="20"/>
                <w:szCs w:val="20"/>
                <w:lang w:val="en-GB"/>
              </w:rPr>
            </w:pPr>
            <w:r w:rsidRPr="00F4624C">
              <w:rPr>
                <w:rFonts w:ascii="Arial" w:hAnsi="Arial" w:cs="Arial"/>
                <w:i/>
                <w:iCs/>
                <w:color w:val="000000"/>
                <w:sz w:val="20"/>
                <w:szCs w:val="20"/>
                <w:lang w:val="en-GB"/>
              </w:rPr>
              <w:t>Portugal</w:t>
            </w:r>
          </w:p>
        </w:tc>
        <w:tc>
          <w:tcPr>
            <w:tcW w:w="0" w:type="auto"/>
            <w:tcBorders>
              <w:top w:val="nil"/>
              <w:left w:val="nil"/>
              <w:bottom w:val="nil"/>
              <w:right w:val="nil"/>
            </w:tcBorders>
            <w:shd w:val="clear" w:color="auto" w:fill="auto"/>
            <w:hideMark/>
          </w:tcPr>
          <w:p w:rsidR="00157ECD" w:rsidRPr="00E6026B" w:rsidRDefault="00157ECD">
            <w:pPr>
              <w:rPr>
                <w:rFonts w:ascii="Arial" w:hAnsi="Arial" w:cs="Arial"/>
                <w:iCs/>
                <w:color w:val="000000"/>
                <w:sz w:val="20"/>
                <w:szCs w:val="20"/>
                <w:lang w:val="en-GB"/>
              </w:rPr>
            </w:pPr>
          </w:p>
        </w:tc>
        <w:tc>
          <w:tcPr>
            <w:tcW w:w="0" w:type="auto"/>
            <w:tcBorders>
              <w:top w:val="nil"/>
              <w:left w:val="nil"/>
              <w:bottom w:val="nil"/>
              <w:right w:val="nil"/>
            </w:tcBorders>
            <w:shd w:val="clear" w:color="auto" w:fill="auto"/>
            <w:hideMark/>
          </w:tcPr>
          <w:p w:rsidR="00157ECD" w:rsidRPr="00E6026B" w:rsidRDefault="00157ECD">
            <w:pPr>
              <w:rPr>
                <w:rFonts w:ascii="Arial" w:hAnsi="Arial" w:cs="Arial"/>
                <w:i/>
                <w:iCs/>
                <w:color w:val="000000"/>
                <w:sz w:val="20"/>
                <w:szCs w:val="20"/>
                <w:lang w:val="en-GB"/>
              </w:rPr>
            </w:pPr>
          </w:p>
        </w:tc>
      </w:tr>
    </w:tbl>
    <w:p w:rsidR="009962D2" w:rsidRPr="00E6026B" w:rsidRDefault="009962D2" w:rsidP="00EB6759">
      <w:pPr>
        <w:spacing w:line="360" w:lineRule="auto"/>
        <w:rPr>
          <w:rFonts w:ascii="Arial" w:hAnsi="Arial" w:cs="Arial"/>
          <w:i/>
          <w:sz w:val="20"/>
          <w:szCs w:val="20"/>
          <w:lang w:val="en-GB"/>
        </w:rPr>
      </w:pPr>
    </w:p>
    <w:sectPr w:rsidR="009962D2" w:rsidRPr="00E6026B" w:rsidSect="00FD5C68">
      <w:type w:val="continuous"/>
      <w:pgSz w:w="11906" w:h="16838"/>
      <w:pgMar w:top="1418" w:right="1418" w:bottom="1418" w:left="1418" w:header="1134"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BF3" w:rsidRDefault="00F40BF3" w:rsidP="00FD5C68">
      <w:r>
        <w:separator/>
      </w:r>
    </w:p>
  </w:endnote>
  <w:endnote w:type="continuationSeparator" w:id="0">
    <w:p w:rsidR="00F40BF3" w:rsidRDefault="00F40BF3" w:rsidP="00FD5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BF3" w:rsidRDefault="00F40BF3" w:rsidP="00FD5C68">
      <w:r>
        <w:separator/>
      </w:r>
    </w:p>
  </w:footnote>
  <w:footnote w:type="continuationSeparator" w:id="0">
    <w:p w:rsidR="00F40BF3" w:rsidRDefault="00F40BF3" w:rsidP="00FD5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211513B"/>
    <w:multiLevelType w:val="hybridMultilevel"/>
    <w:tmpl w:val="2F60C65A"/>
    <w:lvl w:ilvl="0" w:tplc="DEFCF7C6">
      <w:start w:val="26"/>
      <w:numFmt w:val="bullet"/>
      <w:lvlText w:val="–"/>
      <w:lvlJc w:val="left"/>
      <w:pPr>
        <w:ind w:left="360" w:hanging="360"/>
      </w:pPr>
      <w:rPr>
        <w:rFonts w:ascii="Arial" w:eastAsia="Times New Roman" w:hAnsi="Arial" w:cs="Arial"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2269"/>
    <w:rsid w:val="00005D91"/>
    <w:rsid w:val="00007CF2"/>
    <w:rsid w:val="00011C62"/>
    <w:rsid w:val="000136B3"/>
    <w:rsid w:val="0003463F"/>
    <w:rsid w:val="00041264"/>
    <w:rsid w:val="00055464"/>
    <w:rsid w:val="00061732"/>
    <w:rsid w:val="00065D99"/>
    <w:rsid w:val="0006661A"/>
    <w:rsid w:val="00067E3E"/>
    <w:rsid w:val="00073530"/>
    <w:rsid w:val="00074D9F"/>
    <w:rsid w:val="000750E4"/>
    <w:rsid w:val="00086F25"/>
    <w:rsid w:val="00093880"/>
    <w:rsid w:val="00093AD7"/>
    <w:rsid w:val="0009647A"/>
    <w:rsid w:val="000B00D9"/>
    <w:rsid w:val="000B3250"/>
    <w:rsid w:val="000B4B09"/>
    <w:rsid w:val="000B561A"/>
    <w:rsid w:val="000B7FE0"/>
    <w:rsid w:val="000C01D9"/>
    <w:rsid w:val="000C09AE"/>
    <w:rsid w:val="000C0AEB"/>
    <w:rsid w:val="000C61A2"/>
    <w:rsid w:val="000E2143"/>
    <w:rsid w:val="000E414D"/>
    <w:rsid w:val="000F1127"/>
    <w:rsid w:val="000F74C8"/>
    <w:rsid w:val="00101AB1"/>
    <w:rsid w:val="001071A1"/>
    <w:rsid w:val="00107C43"/>
    <w:rsid w:val="00120B6D"/>
    <w:rsid w:val="00145255"/>
    <w:rsid w:val="0014688A"/>
    <w:rsid w:val="001512EE"/>
    <w:rsid w:val="00151964"/>
    <w:rsid w:val="00153E9C"/>
    <w:rsid w:val="0015556E"/>
    <w:rsid w:val="00155E82"/>
    <w:rsid w:val="00157ECD"/>
    <w:rsid w:val="00162620"/>
    <w:rsid w:val="00164491"/>
    <w:rsid w:val="001653E2"/>
    <w:rsid w:val="00175066"/>
    <w:rsid w:val="00176427"/>
    <w:rsid w:val="00181F3B"/>
    <w:rsid w:val="00193C50"/>
    <w:rsid w:val="00197E83"/>
    <w:rsid w:val="001A2358"/>
    <w:rsid w:val="001A5EEB"/>
    <w:rsid w:val="001A65CC"/>
    <w:rsid w:val="001A7CC5"/>
    <w:rsid w:val="001B10CD"/>
    <w:rsid w:val="001B34A0"/>
    <w:rsid w:val="001B5B6A"/>
    <w:rsid w:val="001B682F"/>
    <w:rsid w:val="001C177C"/>
    <w:rsid w:val="001C5C72"/>
    <w:rsid w:val="001E1933"/>
    <w:rsid w:val="001E1970"/>
    <w:rsid w:val="001E39ED"/>
    <w:rsid w:val="001E42D7"/>
    <w:rsid w:val="001E4D82"/>
    <w:rsid w:val="001E76D9"/>
    <w:rsid w:val="001E77A2"/>
    <w:rsid w:val="001F0F0E"/>
    <w:rsid w:val="001F22A7"/>
    <w:rsid w:val="0020023D"/>
    <w:rsid w:val="002103E0"/>
    <w:rsid w:val="00210CC3"/>
    <w:rsid w:val="0021245C"/>
    <w:rsid w:val="00221C7C"/>
    <w:rsid w:val="00233071"/>
    <w:rsid w:val="002419A8"/>
    <w:rsid w:val="0025769A"/>
    <w:rsid w:val="00260751"/>
    <w:rsid w:val="002712B5"/>
    <w:rsid w:val="002722EF"/>
    <w:rsid w:val="0027338B"/>
    <w:rsid w:val="00274982"/>
    <w:rsid w:val="00276613"/>
    <w:rsid w:val="0029237A"/>
    <w:rsid w:val="0029350B"/>
    <w:rsid w:val="002A049F"/>
    <w:rsid w:val="002A07C9"/>
    <w:rsid w:val="002A0E95"/>
    <w:rsid w:val="002A6E04"/>
    <w:rsid w:val="002A7A3C"/>
    <w:rsid w:val="002B280F"/>
    <w:rsid w:val="002B5D0E"/>
    <w:rsid w:val="002B68DD"/>
    <w:rsid w:val="002B797E"/>
    <w:rsid w:val="002C1999"/>
    <w:rsid w:val="002D3B5E"/>
    <w:rsid w:val="002D4705"/>
    <w:rsid w:val="002D75FD"/>
    <w:rsid w:val="002D7831"/>
    <w:rsid w:val="002E2EB5"/>
    <w:rsid w:val="002E55D1"/>
    <w:rsid w:val="002F5E56"/>
    <w:rsid w:val="002F7964"/>
    <w:rsid w:val="00301D19"/>
    <w:rsid w:val="0030375A"/>
    <w:rsid w:val="00304E35"/>
    <w:rsid w:val="00310152"/>
    <w:rsid w:val="00310EBE"/>
    <w:rsid w:val="00310FC0"/>
    <w:rsid w:val="00311508"/>
    <w:rsid w:val="00311FA8"/>
    <w:rsid w:val="003129F7"/>
    <w:rsid w:val="0032013B"/>
    <w:rsid w:val="00322F59"/>
    <w:rsid w:val="003313F1"/>
    <w:rsid w:val="003318D7"/>
    <w:rsid w:val="00335CB9"/>
    <w:rsid w:val="00337597"/>
    <w:rsid w:val="0034082D"/>
    <w:rsid w:val="0034595C"/>
    <w:rsid w:val="00346A09"/>
    <w:rsid w:val="00352C9B"/>
    <w:rsid w:val="003637B4"/>
    <w:rsid w:val="00370AE6"/>
    <w:rsid w:val="00375265"/>
    <w:rsid w:val="00387CF0"/>
    <w:rsid w:val="003946A7"/>
    <w:rsid w:val="003960A8"/>
    <w:rsid w:val="003A1124"/>
    <w:rsid w:val="003A6F68"/>
    <w:rsid w:val="003B2D7E"/>
    <w:rsid w:val="003B377B"/>
    <w:rsid w:val="003B394A"/>
    <w:rsid w:val="003B3EE9"/>
    <w:rsid w:val="003C1824"/>
    <w:rsid w:val="003D09E8"/>
    <w:rsid w:val="003E1F51"/>
    <w:rsid w:val="003E4506"/>
    <w:rsid w:val="003E654E"/>
    <w:rsid w:val="003E7B6A"/>
    <w:rsid w:val="003F398B"/>
    <w:rsid w:val="003F51A8"/>
    <w:rsid w:val="003F75D7"/>
    <w:rsid w:val="00407CEC"/>
    <w:rsid w:val="004114B8"/>
    <w:rsid w:val="00411E1E"/>
    <w:rsid w:val="00424C14"/>
    <w:rsid w:val="0042525A"/>
    <w:rsid w:val="004254C4"/>
    <w:rsid w:val="0042727C"/>
    <w:rsid w:val="00427D29"/>
    <w:rsid w:val="004312B3"/>
    <w:rsid w:val="0044277B"/>
    <w:rsid w:val="004459B7"/>
    <w:rsid w:val="004502B2"/>
    <w:rsid w:val="00454EAE"/>
    <w:rsid w:val="004659A1"/>
    <w:rsid w:val="00472B53"/>
    <w:rsid w:val="004809C1"/>
    <w:rsid w:val="00483E53"/>
    <w:rsid w:val="00486E59"/>
    <w:rsid w:val="004A558E"/>
    <w:rsid w:val="004A5D8A"/>
    <w:rsid w:val="004B6F05"/>
    <w:rsid w:val="004C01F6"/>
    <w:rsid w:val="004C6864"/>
    <w:rsid w:val="004C6B7E"/>
    <w:rsid w:val="004C78B6"/>
    <w:rsid w:val="004D1A8A"/>
    <w:rsid w:val="004D3023"/>
    <w:rsid w:val="004D4F7B"/>
    <w:rsid w:val="004E40D0"/>
    <w:rsid w:val="004E79C5"/>
    <w:rsid w:val="004E7B8F"/>
    <w:rsid w:val="004E7BC7"/>
    <w:rsid w:val="004F054E"/>
    <w:rsid w:val="00502149"/>
    <w:rsid w:val="00502DD0"/>
    <w:rsid w:val="0050348D"/>
    <w:rsid w:val="00510B8F"/>
    <w:rsid w:val="005122E9"/>
    <w:rsid w:val="005125F7"/>
    <w:rsid w:val="00513D08"/>
    <w:rsid w:val="00515710"/>
    <w:rsid w:val="00517250"/>
    <w:rsid w:val="0052258A"/>
    <w:rsid w:val="00522C50"/>
    <w:rsid w:val="005233E8"/>
    <w:rsid w:val="005266C1"/>
    <w:rsid w:val="00532BBB"/>
    <w:rsid w:val="005344B7"/>
    <w:rsid w:val="005371DD"/>
    <w:rsid w:val="00537A0B"/>
    <w:rsid w:val="00541B5A"/>
    <w:rsid w:val="0054233E"/>
    <w:rsid w:val="005440D8"/>
    <w:rsid w:val="005445CE"/>
    <w:rsid w:val="005536EE"/>
    <w:rsid w:val="00567CEF"/>
    <w:rsid w:val="00570FCA"/>
    <w:rsid w:val="0057129A"/>
    <w:rsid w:val="005732AF"/>
    <w:rsid w:val="00577C2D"/>
    <w:rsid w:val="0059459A"/>
    <w:rsid w:val="005A0076"/>
    <w:rsid w:val="005A6BEC"/>
    <w:rsid w:val="005B112A"/>
    <w:rsid w:val="005B188E"/>
    <w:rsid w:val="005B6DDE"/>
    <w:rsid w:val="005D181B"/>
    <w:rsid w:val="005D262A"/>
    <w:rsid w:val="005E0E50"/>
    <w:rsid w:val="005E0F00"/>
    <w:rsid w:val="005E327D"/>
    <w:rsid w:val="005E52C9"/>
    <w:rsid w:val="005E610C"/>
    <w:rsid w:val="005F160D"/>
    <w:rsid w:val="005F1852"/>
    <w:rsid w:val="005F19AA"/>
    <w:rsid w:val="005F1CC7"/>
    <w:rsid w:val="005F2A1A"/>
    <w:rsid w:val="005F4645"/>
    <w:rsid w:val="005F4CDC"/>
    <w:rsid w:val="00601BE0"/>
    <w:rsid w:val="0060697D"/>
    <w:rsid w:val="0060778F"/>
    <w:rsid w:val="00616B3F"/>
    <w:rsid w:val="00625504"/>
    <w:rsid w:val="00625CF6"/>
    <w:rsid w:val="0063205F"/>
    <w:rsid w:val="006334CB"/>
    <w:rsid w:val="00633DE6"/>
    <w:rsid w:val="006343B4"/>
    <w:rsid w:val="0063531A"/>
    <w:rsid w:val="006401AC"/>
    <w:rsid w:val="006424B5"/>
    <w:rsid w:val="00642650"/>
    <w:rsid w:val="00646F5E"/>
    <w:rsid w:val="00652269"/>
    <w:rsid w:val="00652AA5"/>
    <w:rsid w:val="006572E2"/>
    <w:rsid w:val="00657725"/>
    <w:rsid w:val="0066442B"/>
    <w:rsid w:val="00664C17"/>
    <w:rsid w:val="00665EC9"/>
    <w:rsid w:val="0066654B"/>
    <w:rsid w:val="00670E11"/>
    <w:rsid w:val="0068342F"/>
    <w:rsid w:val="00690D6F"/>
    <w:rsid w:val="00691119"/>
    <w:rsid w:val="006972AB"/>
    <w:rsid w:val="006A1C15"/>
    <w:rsid w:val="006A32F0"/>
    <w:rsid w:val="006A51E4"/>
    <w:rsid w:val="006A7577"/>
    <w:rsid w:val="006B5D64"/>
    <w:rsid w:val="006C7A89"/>
    <w:rsid w:val="006D1BF8"/>
    <w:rsid w:val="006D55DA"/>
    <w:rsid w:val="006E19A9"/>
    <w:rsid w:val="006F0962"/>
    <w:rsid w:val="006F1312"/>
    <w:rsid w:val="006F3D5F"/>
    <w:rsid w:val="00700B09"/>
    <w:rsid w:val="00707A4A"/>
    <w:rsid w:val="007247AA"/>
    <w:rsid w:val="0075413A"/>
    <w:rsid w:val="0075475F"/>
    <w:rsid w:val="00760D21"/>
    <w:rsid w:val="0076365D"/>
    <w:rsid w:val="00771F8A"/>
    <w:rsid w:val="0077289B"/>
    <w:rsid w:val="0077412B"/>
    <w:rsid w:val="00775F6C"/>
    <w:rsid w:val="0078361B"/>
    <w:rsid w:val="00785B94"/>
    <w:rsid w:val="007861C0"/>
    <w:rsid w:val="0078753A"/>
    <w:rsid w:val="0079027F"/>
    <w:rsid w:val="00794D0F"/>
    <w:rsid w:val="007A3DE5"/>
    <w:rsid w:val="007A66B1"/>
    <w:rsid w:val="007B3B77"/>
    <w:rsid w:val="007C36DC"/>
    <w:rsid w:val="007D3571"/>
    <w:rsid w:val="007D3DE5"/>
    <w:rsid w:val="007D63F9"/>
    <w:rsid w:val="007D65DE"/>
    <w:rsid w:val="007E4A22"/>
    <w:rsid w:val="007F0B61"/>
    <w:rsid w:val="007F1BBE"/>
    <w:rsid w:val="007F23F7"/>
    <w:rsid w:val="007F25D1"/>
    <w:rsid w:val="007F33CD"/>
    <w:rsid w:val="007F3DE5"/>
    <w:rsid w:val="00801E8C"/>
    <w:rsid w:val="008178E0"/>
    <w:rsid w:val="008208E4"/>
    <w:rsid w:val="00820AF7"/>
    <w:rsid w:val="00840C3F"/>
    <w:rsid w:val="008449AD"/>
    <w:rsid w:val="00847E40"/>
    <w:rsid w:val="0085152E"/>
    <w:rsid w:val="0085492B"/>
    <w:rsid w:val="00855C0B"/>
    <w:rsid w:val="00861FD6"/>
    <w:rsid w:val="00864E01"/>
    <w:rsid w:val="00871DC6"/>
    <w:rsid w:val="0087506D"/>
    <w:rsid w:val="00875380"/>
    <w:rsid w:val="00885F0A"/>
    <w:rsid w:val="0088696E"/>
    <w:rsid w:val="008873BA"/>
    <w:rsid w:val="00890AC9"/>
    <w:rsid w:val="00893A52"/>
    <w:rsid w:val="008A4CA8"/>
    <w:rsid w:val="008A4D24"/>
    <w:rsid w:val="008B52AD"/>
    <w:rsid w:val="008C10AA"/>
    <w:rsid w:val="008C4861"/>
    <w:rsid w:val="008C6B6D"/>
    <w:rsid w:val="008D090B"/>
    <w:rsid w:val="008D2645"/>
    <w:rsid w:val="008E02F9"/>
    <w:rsid w:val="008E2CE9"/>
    <w:rsid w:val="008E30ED"/>
    <w:rsid w:val="008E5005"/>
    <w:rsid w:val="008F1478"/>
    <w:rsid w:val="008F1B3C"/>
    <w:rsid w:val="008F4CF3"/>
    <w:rsid w:val="008F769F"/>
    <w:rsid w:val="00904191"/>
    <w:rsid w:val="009041AF"/>
    <w:rsid w:val="00905B07"/>
    <w:rsid w:val="00907789"/>
    <w:rsid w:val="00913228"/>
    <w:rsid w:val="00913799"/>
    <w:rsid w:val="00914D46"/>
    <w:rsid w:val="00931B2E"/>
    <w:rsid w:val="00933ED2"/>
    <w:rsid w:val="009340FC"/>
    <w:rsid w:val="009350D1"/>
    <w:rsid w:val="009459C6"/>
    <w:rsid w:val="00945B83"/>
    <w:rsid w:val="0094719E"/>
    <w:rsid w:val="00951BDF"/>
    <w:rsid w:val="009603D3"/>
    <w:rsid w:val="009618AD"/>
    <w:rsid w:val="009638EF"/>
    <w:rsid w:val="009641CF"/>
    <w:rsid w:val="00967CAC"/>
    <w:rsid w:val="009700E8"/>
    <w:rsid w:val="00986EDE"/>
    <w:rsid w:val="009925C9"/>
    <w:rsid w:val="00993095"/>
    <w:rsid w:val="00995215"/>
    <w:rsid w:val="009962D2"/>
    <w:rsid w:val="00997450"/>
    <w:rsid w:val="009A335F"/>
    <w:rsid w:val="009B5CA4"/>
    <w:rsid w:val="009B73BC"/>
    <w:rsid w:val="009C112E"/>
    <w:rsid w:val="009C6595"/>
    <w:rsid w:val="009D035A"/>
    <w:rsid w:val="009D4D11"/>
    <w:rsid w:val="009D56AD"/>
    <w:rsid w:val="009D6C3D"/>
    <w:rsid w:val="009E2D42"/>
    <w:rsid w:val="009E480B"/>
    <w:rsid w:val="009E4D7B"/>
    <w:rsid w:val="009F489B"/>
    <w:rsid w:val="009F6BE8"/>
    <w:rsid w:val="00A225D6"/>
    <w:rsid w:val="00A260D7"/>
    <w:rsid w:val="00A333AA"/>
    <w:rsid w:val="00A3427D"/>
    <w:rsid w:val="00A42280"/>
    <w:rsid w:val="00A47F18"/>
    <w:rsid w:val="00A57F8F"/>
    <w:rsid w:val="00A66281"/>
    <w:rsid w:val="00A71047"/>
    <w:rsid w:val="00A716C0"/>
    <w:rsid w:val="00A7244B"/>
    <w:rsid w:val="00A74FB3"/>
    <w:rsid w:val="00A801AD"/>
    <w:rsid w:val="00A816A3"/>
    <w:rsid w:val="00A833CC"/>
    <w:rsid w:val="00A933A7"/>
    <w:rsid w:val="00A95F8B"/>
    <w:rsid w:val="00AA00F4"/>
    <w:rsid w:val="00AA1092"/>
    <w:rsid w:val="00AA167F"/>
    <w:rsid w:val="00AA179C"/>
    <w:rsid w:val="00AB0816"/>
    <w:rsid w:val="00AB3451"/>
    <w:rsid w:val="00AB4EE8"/>
    <w:rsid w:val="00AC12AF"/>
    <w:rsid w:val="00AC13B1"/>
    <w:rsid w:val="00AC5DDA"/>
    <w:rsid w:val="00AD4024"/>
    <w:rsid w:val="00AE1907"/>
    <w:rsid w:val="00AE5ADC"/>
    <w:rsid w:val="00AE6CE4"/>
    <w:rsid w:val="00AE6F89"/>
    <w:rsid w:val="00AF1FE2"/>
    <w:rsid w:val="00AF38E4"/>
    <w:rsid w:val="00AF5271"/>
    <w:rsid w:val="00B0122B"/>
    <w:rsid w:val="00B05327"/>
    <w:rsid w:val="00B112A5"/>
    <w:rsid w:val="00B13A5D"/>
    <w:rsid w:val="00B13B5D"/>
    <w:rsid w:val="00B16D4F"/>
    <w:rsid w:val="00B16ECE"/>
    <w:rsid w:val="00B34932"/>
    <w:rsid w:val="00B3783F"/>
    <w:rsid w:val="00B45077"/>
    <w:rsid w:val="00B46743"/>
    <w:rsid w:val="00B57E57"/>
    <w:rsid w:val="00B649FB"/>
    <w:rsid w:val="00B65624"/>
    <w:rsid w:val="00B679F0"/>
    <w:rsid w:val="00B7366B"/>
    <w:rsid w:val="00B76D26"/>
    <w:rsid w:val="00B81E64"/>
    <w:rsid w:val="00B8382A"/>
    <w:rsid w:val="00B863D1"/>
    <w:rsid w:val="00B86D90"/>
    <w:rsid w:val="00B86FB1"/>
    <w:rsid w:val="00B87BA2"/>
    <w:rsid w:val="00B977D2"/>
    <w:rsid w:val="00BA05B0"/>
    <w:rsid w:val="00BA5304"/>
    <w:rsid w:val="00BB03DE"/>
    <w:rsid w:val="00BB05F7"/>
    <w:rsid w:val="00BB6291"/>
    <w:rsid w:val="00BB7189"/>
    <w:rsid w:val="00BB7627"/>
    <w:rsid w:val="00BC6317"/>
    <w:rsid w:val="00BC6434"/>
    <w:rsid w:val="00BC7D50"/>
    <w:rsid w:val="00BD7E92"/>
    <w:rsid w:val="00BE19BC"/>
    <w:rsid w:val="00BE2422"/>
    <w:rsid w:val="00BE2A7C"/>
    <w:rsid w:val="00BE7BC9"/>
    <w:rsid w:val="00C002B8"/>
    <w:rsid w:val="00C052FC"/>
    <w:rsid w:val="00C0757B"/>
    <w:rsid w:val="00C106F6"/>
    <w:rsid w:val="00C1320F"/>
    <w:rsid w:val="00C2503E"/>
    <w:rsid w:val="00C33C5B"/>
    <w:rsid w:val="00C36807"/>
    <w:rsid w:val="00C3684D"/>
    <w:rsid w:val="00C545F0"/>
    <w:rsid w:val="00C570DF"/>
    <w:rsid w:val="00C574D9"/>
    <w:rsid w:val="00C5750D"/>
    <w:rsid w:val="00C66F9A"/>
    <w:rsid w:val="00C74E40"/>
    <w:rsid w:val="00C75DF4"/>
    <w:rsid w:val="00C7640E"/>
    <w:rsid w:val="00C77A57"/>
    <w:rsid w:val="00C93F06"/>
    <w:rsid w:val="00CA1F61"/>
    <w:rsid w:val="00CB2ED0"/>
    <w:rsid w:val="00CB351F"/>
    <w:rsid w:val="00CB434D"/>
    <w:rsid w:val="00CB4F03"/>
    <w:rsid w:val="00CB54E9"/>
    <w:rsid w:val="00CB5E7B"/>
    <w:rsid w:val="00CB67EA"/>
    <w:rsid w:val="00CC0079"/>
    <w:rsid w:val="00CC2E48"/>
    <w:rsid w:val="00CD06D1"/>
    <w:rsid w:val="00CD0BDD"/>
    <w:rsid w:val="00CD0ED4"/>
    <w:rsid w:val="00CD1EEC"/>
    <w:rsid w:val="00CD2C7D"/>
    <w:rsid w:val="00CD559C"/>
    <w:rsid w:val="00CE447C"/>
    <w:rsid w:val="00CE6D26"/>
    <w:rsid w:val="00CF085D"/>
    <w:rsid w:val="00CF1ED8"/>
    <w:rsid w:val="00CF3031"/>
    <w:rsid w:val="00CF46AE"/>
    <w:rsid w:val="00CF5D25"/>
    <w:rsid w:val="00CF6A50"/>
    <w:rsid w:val="00D00320"/>
    <w:rsid w:val="00D046D7"/>
    <w:rsid w:val="00D0740E"/>
    <w:rsid w:val="00D254BC"/>
    <w:rsid w:val="00D270DA"/>
    <w:rsid w:val="00D33AAD"/>
    <w:rsid w:val="00D408D3"/>
    <w:rsid w:val="00D4194B"/>
    <w:rsid w:val="00D51CF9"/>
    <w:rsid w:val="00D523F7"/>
    <w:rsid w:val="00D539A4"/>
    <w:rsid w:val="00D6107A"/>
    <w:rsid w:val="00D62530"/>
    <w:rsid w:val="00D6508A"/>
    <w:rsid w:val="00D72805"/>
    <w:rsid w:val="00D72F89"/>
    <w:rsid w:val="00D814A2"/>
    <w:rsid w:val="00D83F44"/>
    <w:rsid w:val="00D86EBE"/>
    <w:rsid w:val="00D92960"/>
    <w:rsid w:val="00D9649A"/>
    <w:rsid w:val="00D96CC0"/>
    <w:rsid w:val="00DA09AD"/>
    <w:rsid w:val="00DA0B1F"/>
    <w:rsid w:val="00DA2CA0"/>
    <w:rsid w:val="00DA4FCC"/>
    <w:rsid w:val="00DB050A"/>
    <w:rsid w:val="00DC0B26"/>
    <w:rsid w:val="00DC11CD"/>
    <w:rsid w:val="00DC2DBC"/>
    <w:rsid w:val="00DC760B"/>
    <w:rsid w:val="00DD16DA"/>
    <w:rsid w:val="00DD39D4"/>
    <w:rsid w:val="00DD5855"/>
    <w:rsid w:val="00DE492E"/>
    <w:rsid w:val="00DE4A18"/>
    <w:rsid w:val="00DE4E33"/>
    <w:rsid w:val="00DF2E49"/>
    <w:rsid w:val="00DF3D0C"/>
    <w:rsid w:val="00E108B1"/>
    <w:rsid w:val="00E14D1A"/>
    <w:rsid w:val="00E2000A"/>
    <w:rsid w:val="00E223E4"/>
    <w:rsid w:val="00E3495D"/>
    <w:rsid w:val="00E35877"/>
    <w:rsid w:val="00E37DD5"/>
    <w:rsid w:val="00E460E8"/>
    <w:rsid w:val="00E6026B"/>
    <w:rsid w:val="00E61E52"/>
    <w:rsid w:val="00E700B9"/>
    <w:rsid w:val="00E70E5F"/>
    <w:rsid w:val="00E71CA8"/>
    <w:rsid w:val="00E7431B"/>
    <w:rsid w:val="00E8587D"/>
    <w:rsid w:val="00E85A94"/>
    <w:rsid w:val="00E866E6"/>
    <w:rsid w:val="00E92500"/>
    <w:rsid w:val="00E9426B"/>
    <w:rsid w:val="00EA0E88"/>
    <w:rsid w:val="00EA5A12"/>
    <w:rsid w:val="00EB158E"/>
    <w:rsid w:val="00EB5430"/>
    <w:rsid w:val="00EB6759"/>
    <w:rsid w:val="00EB7EBD"/>
    <w:rsid w:val="00ED0040"/>
    <w:rsid w:val="00ED220D"/>
    <w:rsid w:val="00EE6242"/>
    <w:rsid w:val="00EE7571"/>
    <w:rsid w:val="00EF00BB"/>
    <w:rsid w:val="00EF3552"/>
    <w:rsid w:val="00EF650F"/>
    <w:rsid w:val="00F018F1"/>
    <w:rsid w:val="00F01D80"/>
    <w:rsid w:val="00F15C43"/>
    <w:rsid w:val="00F21D43"/>
    <w:rsid w:val="00F23167"/>
    <w:rsid w:val="00F3118D"/>
    <w:rsid w:val="00F31E0F"/>
    <w:rsid w:val="00F341FE"/>
    <w:rsid w:val="00F35C66"/>
    <w:rsid w:val="00F40BF3"/>
    <w:rsid w:val="00F411C0"/>
    <w:rsid w:val="00F4384D"/>
    <w:rsid w:val="00F43F07"/>
    <w:rsid w:val="00F450E3"/>
    <w:rsid w:val="00F45C8B"/>
    <w:rsid w:val="00F4624C"/>
    <w:rsid w:val="00F46846"/>
    <w:rsid w:val="00F561B7"/>
    <w:rsid w:val="00F5668E"/>
    <w:rsid w:val="00F706BC"/>
    <w:rsid w:val="00F70BBD"/>
    <w:rsid w:val="00F70C5F"/>
    <w:rsid w:val="00F740F7"/>
    <w:rsid w:val="00F75D7D"/>
    <w:rsid w:val="00F82FD7"/>
    <w:rsid w:val="00F86D81"/>
    <w:rsid w:val="00F90282"/>
    <w:rsid w:val="00F9113B"/>
    <w:rsid w:val="00F92CE1"/>
    <w:rsid w:val="00F92D52"/>
    <w:rsid w:val="00F94315"/>
    <w:rsid w:val="00F96442"/>
    <w:rsid w:val="00F97CE0"/>
    <w:rsid w:val="00FA1F38"/>
    <w:rsid w:val="00FB18E0"/>
    <w:rsid w:val="00FC15CF"/>
    <w:rsid w:val="00FC1BC7"/>
    <w:rsid w:val="00FC7F0D"/>
    <w:rsid w:val="00FD4AE3"/>
    <w:rsid w:val="00FD5C68"/>
    <w:rsid w:val="00FD757E"/>
    <w:rsid w:val="00FE0E25"/>
    <w:rsid w:val="00FE43E3"/>
    <w:rsid w:val="00FE7EB7"/>
    <w:rsid w:val="00FF0CDD"/>
    <w:rsid w:val="00FF435A"/>
    <w:rsid w:val="00FF4ED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5C68"/>
    <w:rPr>
      <w:sz w:val="24"/>
      <w:szCs w:val="22"/>
      <w:lang w:eastAsia="en-US"/>
    </w:rPr>
  </w:style>
  <w:style w:type="paragraph" w:styleId="Nadpis1">
    <w:name w:val="heading 1"/>
    <w:basedOn w:val="Normln"/>
    <w:next w:val="Normln"/>
    <w:link w:val="Nadpis1Char"/>
    <w:qFormat/>
    <w:rsid w:val="00FD5C68"/>
    <w:pPr>
      <w:keepNext/>
      <w:spacing w:before="240" w:after="240"/>
      <w:jc w:val="both"/>
      <w:outlineLvl w:val="0"/>
    </w:pPr>
    <w:rPr>
      <w:rFonts w:ascii="Arial" w:eastAsia="Times New Roman" w:hAnsi="Arial" w:cs="Arial"/>
      <w:b/>
      <w:bCs/>
      <w:kern w:val="32"/>
      <w:szCs w:val="32"/>
      <w:lang w:eastAsia="cs-CZ"/>
    </w:rPr>
  </w:style>
  <w:style w:type="paragraph" w:styleId="Nadpis2">
    <w:name w:val="heading 2"/>
    <w:basedOn w:val="Normln"/>
    <w:link w:val="Nadpis2Char"/>
    <w:qFormat/>
    <w:rsid w:val="00FD5C68"/>
    <w:pPr>
      <w:spacing w:before="100" w:beforeAutospacing="1" w:after="100" w:afterAutospacing="1"/>
      <w:outlineLvl w:val="1"/>
    </w:pPr>
    <w:rPr>
      <w:rFonts w:eastAsia="Times New Roman"/>
      <w:b/>
      <w:bCs/>
      <w:sz w:val="36"/>
      <w:szCs w:val="36"/>
      <w:lang w:eastAsia="cs-CZ"/>
    </w:rPr>
  </w:style>
  <w:style w:type="paragraph" w:styleId="Nadpis3">
    <w:name w:val="heading 3"/>
    <w:basedOn w:val="Normln"/>
    <w:next w:val="Normln"/>
    <w:link w:val="Nadpis3Char"/>
    <w:qFormat/>
    <w:rsid w:val="00FD5C68"/>
    <w:pPr>
      <w:keepNext/>
      <w:spacing w:before="240" w:after="60"/>
      <w:jc w:val="both"/>
      <w:outlineLvl w:val="2"/>
    </w:pPr>
    <w:rPr>
      <w:rFonts w:ascii="Arial" w:eastAsia="Times New Roman" w:hAnsi="Arial" w:cs="Arial"/>
      <w:b/>
      <w:bCs/>
      <w:sz w:val="20"/>
      <w:szCs w:val="26"/>
      <w:lang w:eastAsia="cs-CZ"/>
    </w:rPr>
  </w:style>
  <w:style w:type="paragraph" w:styleId="Nadpis4">
    <w:name w:val="heading 4"/>
    <w:basedOn w:val="Normln"/>
    <w:next w:val="Normln"/>
    <w:link w:val="Nadpis4Char"/>
    <w:qFormat/>
    <w:rsid w:val="00FD5C68"/>
    <w:pPr>
      <w:keepNext/>
      <w:outlineLvl w:val="3"/>
    </w:pPr>
    <w:rPr>
      <w:rFonts w:ascii="Arial" w:eastAsia="Times New Roman" w:hAnsi="Arial"/>
      <w:i/>
      <w:iCs/>
      <w:sz w:val="16"/>
      <w:szCs w:val="16"/>
      <w:lang w:val="en-GB" w:eastAsia="cs-CZ"/>
    </w:rPr>
  </w:style>
  <w:style w:type="paragraph" w:styleId="Nadpis5">
    <w:name w:val="heading 5"/>
    <w:basedOn w:val="Normln"/>
    <w:next w:val="Normln"/>
    <w:link w:val="Nadpis5Char"/>
    <w:qFormat/>
    <w:rsid w:val="00FD5C68"/>
    <w:pPr>
      <w:keepNext/>
      <w:jc w:val="center"/>
      <w:outlineLvl w:val="4"/>
    </w:pPr>
    <w:rPr>
      <w:rFonts w:ascii="Arial" w:eastAsia="Times New Roman" w:hAnsi="Arial"/>
      <w:i/>
      <w:iCs/>
      <w:sz w:val="16"/>
      <w:szCs w:val="16"/>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2269"/>
    <w:rPr>
      <w:rFonts w:eastAsia="Times New Roman"/>
      <w:b/>
      <w:bCs/>
      <w:sz w:val="36"/>
      <w:szCs w:val="36"/>
    </w:rPr>
  </w:style>
  <w:style w:type="paragraph" w:styleId="Normlnweb">
    <w:name w:val="Normal (Web)"/>
    <w:basedOn w:val="Normln"/>
    <w:uiPriority w:val="99"/>
    <w:unhideWhenUsed/>
    <w:rsid w:val="00FD5C68"/>
    <w:pPr>
      <w:spacing w:before="100" w:beforeAutospacing="1" w:after="100" w:afterAutospacing="1"/>
    </w:pPr>
    <w:rPr>
      <w:rFonts w:eastAsia="Times New Roman"/>
      <w:szCs w:val="24"/>
      <w:lang w:eastAsia="cs-CZ"/>
    </w:rPr>
  </w:style>
  <w:style w:type="character" w:styleId="Hypertextovodkaz">
    <w:name w:val="Hyperlink"/>
    <w:basedOn w:val="Standardnpsmoodstavce"/>
    <w:unhideWhenUsed/>
    <w:rsid w:val="008F769F"/>
    <w:rPr>
      <w:color w:val="0000FF"/>
      <w:u w:val="single"/>
    </w:rPr>
  </w:style>
  <w:style w:type="character" w:customStyle="1" w:styleId="Nadpis1Char">
    <w:name w:val="Nadpis 1 Char"/>
    <w:basedOn w:val="Standardnpsmoodstavce"/>
    <w:link w:val="Nadpis1"/>
    <w:rsid w:val="00FD5C68"/>
    <w:rPr>
      <w:rFonts w:ascii="Arial" w:eastAsia="Times New Roman" w:hAnsi="Arial" w:cs="Arial"/>
      <w:b/>
      <w:bCs/>
      <w:kern w:val="32"/>
      <w:sz w:val="24"/>
      <w:szCs w:val="32"/>
    </w:rPr>
  </w:style>
  <w:style w:type="character" w:customStyle="1" w:styleId="Nadpis3Char">
    <w:name w:val="Nadpis 3 Char"/>
    <w:basedOn w:val="Standardnpsmoodstavce"/>
    <w:link w:val="Nadpis3"/>
    <w:rsid w:val="00FD5C68"/>
    <w:rPr>
      <w:rFonts w:ascii="Arial" w:eastAsia="Times New Roman" w:hAnsi="Arial" w:cs="Arial"/>
      <w:b/>
      <w:bCs/>
      <w:szCs w:val="26"/>
    </w:rPr>
  </w:style>
  <w:style w:type="character" w:customStyle="1" w:styleId="Nadpis4Char">
    <w:name w:val="Nadpis 4 Char"/>
    <w:basedOn w:val="Standardnpsmoodstavce"/>
    <w:link w:val="Nadpis4"/>
    <w:rsid w:val="00FD5C68"/>
    <w:rPr>
      <w:rFonts w:ascii="Arial" w:eastAsia="Times New Roman" w:hAnsi="Arial"/>
      <w:i/>
      <w:iCs/>
      <w:sz w:val="16"/>
      <w:szCs w:val="16"/>
      <w:lang w:val="en-GB"/>
    </w:rPr>
  </w:style>
  <w:style w:type="character" w:customStyle="1" w:styleId="Nadpis5Char">
    <w:name w:val="Nadpis 5 Char"/>
    <w:basedOn w:val="Standardnpsmoodstavce"/>
    <w:link w:val="Nadpis5"/>
    <w:rsid w:val="00FD5C68"/>
    <w:rPr>
      <w:rFonts w:ascii="Arial" w:eastAsia="Times New Roman" w:hAnsi="Arial"/>
      <w:i/>
      <w:iCs/>
      <w:sz w:val="16"/>
      <w:szCs w:val="16"/>
      <w:lang w:val="en-GB"/>
    </w:rPr>
  </w:style>
  <w:style w:type="paragraph" w:styleId="Nzev">
    <w:name w:val="Title"/>
    <w:basedOn w:val="Normln"/>
    <w:link w:val="NzevChar"/>
    <w:qFormat/>
    <w:rsid w:val="00FD5C68"/>
    <w:pPr>
      <w:spacing w:before="240" w:after="240"/>
      <w:jc w:val="center"/>
      <w:outlineLvl w:val="0"/>
    </w:pPr>
    <w:rPr>
      <w:rFonts w:ascii="Arial" w:eastAsia="Times New Roman" w:hAnsi="Arial" w:cs="Arial"/>
      <w:b/>
      <w:bCs/>
      <w:kern w:val="28"/>
      <w:sz w:val="28"/>
      <w:szCs w:val="32"/>
      <w:lang w:eastAsia="cs-CZ"/>
    </w:rPr>
  </w:style>
  <w:style w:type="character" w:customStyle="1" w:styleId="NzevChar">
    <w:name w:val="Název Char"/>
    <w:basedOn w:val="Standardnpsmoodstavce"/>
    <w:link w:val="Nzev"/>
    <w:rsid w:val="00FD5C68"/>
    <w:rPr>
      <w:rFonts w:ascii="Arial" w:eastAsia="Times New Roman" w:hAnsi="Arial" w:cs="Arial"/>
      <w:b/>
      <w:bCs/>
      <w:kern w:val="28"/>
      <w:sz w:val="28"/>
      <w:szCs w:val="32"/>
    </w:rPr>
  </w:style>
  <w:style w:type="paragraph" w:customStyle="1" w:styleId="normalnsodrkami">
    <w:name w:val="normalní s odrážkami"/>
    <w:basedOn w:val="Normln"/>
    <w:rsid w:val="00FD5C68"/>
    <w:pPr>
      <w:numPr>
        <w:numId w:val="1"/>
      </w:numPr>
      <w:jc w:val="both"/>
    </w:pPr>
    <w:rPr>
      <w:rFonts w:ascii="Arial" w:eastAsia="Times New Roman" w:hAnsi="Arial"/>
      <w:sz w:val="20"/>
      <w:szCs w:val="24"/>
      <w:lang w:eastAsia="cs-CZ"/>
    </w:rPr>
  </w:style>
  <w:style w:type="paragraph" w:styleId="Zpat">
    <w:name w:val="footer"/>
    <w:basedOn w:val="Normln"/>
    <w:link w:val="ZpatChar"/>
    <w:semiHidden/>
    <w:rsid w:val="00FD5C68"/>
    <w:pPr>
      <w:tabs>
        <w:tab w:val="center" w:pos="4536"/>
        <w:tab w:val="right" w:pos="9072"/>
      </w:tabs>
      <w:jc w:val="both"/>
    </w:pPr>
    <w:rPr>
      <w:rFonts w:ascii="Arial" w:eastAsia="Times New Roman" w:hAnsi="Arial"/>
      <w:sz w:val="20"/>
      <w:szCs w:val="24"/>
      <w:lang w:eastAsia="cs-CZ"/>
    </w:rPr>
  </w:style>
  <w:style w:type="character" w:customStyle="1" w:styleId="ZpatChar">
    <w:name w:val="Zápatí Char"/>
    <w:basedOn w:val="Standardnpsmoodstavce"/>
    <w:link w:val="Zpat"/>
    <w:semiHidden/>
    <w:rsid w:val="00FD5C68"/>
    <w:rPr>
      <w:rFonts w:ascii="Arial" w:eastAsia="Times New Roman" w:hAnsi="Arial"/>
      <w:szCs w:val="24"/>
    </w:rPr>
  </w:style>
  <w:style w:type="character" w:styleId="slostrnky">
    <w:name w:val="page number"/>
    <w:basedOn w:val="Standardnpsmoodstavce"/>
    <w:semiHidden/>
    <w:rsid w:val="00FD5C68"/>
  </w:style>
  <w:style w:type="paragraph" w:styleId="Zkladntext2">
    <w:name w:val="Body Text 2"/>
    <w:basedOn w:val="Normln"/>
    <w:link w:val="Zkladntext2Char"/>
    <w:semiHidden/>
    <w:rsid w:val="00FD5C68"/>
    <w:pPr>
      <w:tabs>
        <w:tab w:val="left" w:pos="709"/>
        <w:tab w:val="left" w:pos="1418"/>
        <w:tab w:val="left" w:pos="1843"/>
      </w:tabs>
      <w:spacing w:before="120" w:after="120"/>
      <w:jc w:val="both"/>
    </w:pPr>
    <w:rPr>
      <w:rFonts w:eastAsia="Times New Roman"/>
      <w:i/>
      <w:iCs/>
      <w:szCs w:val="26"/>
      <w:lang w:val="en-GB" w:eastAsia="cs-CZ"/>
    </w:rPr>
  </w:style>
  <w:style w:type="character" w:customStyle="1" w:styleId="Zkladntext2Char">
    <w:name w:val="Základní text 2 Char"/>
    <w:basedOn w:val="Standardnpsmoodstavce"/>
    <w:link w:val="Zkladntext2"/>
    <w:semiHidden/>
    <w:rsid w:val="00FD5C68"/>
    <w:rPr>
      <w:rFonts w:eastAsia="Times New Roman"/>
      <w:i/>
      <w:iCs/>
      <w:sz w:val="24"/>
      <w:szCs w:val="26"/>
      <w:lang w:val="en-GB"/>
    </w:rPr>
  </w:style>
  <w:style w:type="paragraph" w:styleId="Zkladntext">
    <w:name w:val="Body Text"/>
    <w:basedOn w:val="Normln"/>
    <w:link w:val="ZkladntextChar"/>
    <w:semiHidden/>
    <w:rsid w:val="00FD5C68"/>
    <w:pPr>
      <w:autoSpaceDE w:val="0"/>
      <w:autoSpaceDN w:val="0"/>
      <w:adjustRightInd w:val="0"/>
    </w:pPr>
    <w:rPr>
      <w:rFonts w:eastAsia="Times New Roman"/>
      <w:szCs w:val="18"/>
      <w:lang w:val="en-GB" w:eastAsia="cs-CZ"/>
    </w:rPr>
  </w:style>
  <w:style w:type="character" w:customStyle="1" w:styleId="ZkladntextChar">
    <w:name w:val="Základní text Char"/>
    <w:basedOn w:val="Standardnpsmoodstavce"/>
    <w:link w:val="Zkladntext"/>
    <w:semiHidden/>
    <w:rsid w:val="00FD5C68"/>
    <w:rPr>
      <w:rFonts w:eastAsia="Times New Roman"/>
      <w:sz w:val="24"/>
      <w:szCs w:val="18"/>
      <w:lang w:val="en-GB"/>
    </w:rPr>
  </w:style>
  <w:style w:type="paragraph" w:styleId="Zkladntext3">
    <w:name w:val="Body Text 3"/>
    <w:basedOn w:val="Normln"/>
    <w:link w:val="Zkladntext3Char"/>
    <w:semiHidden/>
    <w:rsid w:val="00FD5C68"/>
    <w:pPr>
      <w:tabs>
        <w:tab w:val="left" w:pos="709"/>
        <w:tab w:val="left" w:pos="1418"/>
        <w:tab w:val="left" w:pos="1843"/>
      </w:tabs>
      <w:spacing w:before="120"/>
      <w:jc w:val="both"/>
    </w:pPr>
    <w:rPr>
      <w:rFonts w:ascii="Arial" w:eastAsia="Times New Roman" w:hAnsi="Arial" w:cs="Arial"/>
      <w:i/>
      <w:iCs/>
      <w:sz w:val="20"/>
      <w:szCs w:val="26"/>
      <w:lang w:val="en-GB" w:eastAsia="cs-CZ"/>
    </w:rPr>
  </w:style>
  <w:style w:type="character" w:customStyle="1" w:styleId="Zkladntext3Char">
    <w:name w:val="Základní text 3 Char"/>
    <w:basedOn w:val="Standardnpsmoodstavce"/>
    <w:link w:val="Zkladntext3"/>
    <w:semiHidden/>
    <w:rsid w:val="00FD5C68"/>
    <w:rPr>
      <w:rFonts w:ascii="Arial" w:eastAsia="Times New Roman" w:hAnsi="Arial" w:cs="Arial"/>
      <w:i/>
      <w:iCs/>
      <w:szCs w:val="26"/>
      <w:lang w:val="en-GB"/>
    </w:rPr>
  </w:style>
  <w:style w:type="paragraph" w:styleId="Zkladntextodsazen">
    <w:name w:val="Body Text Indent"/>
    <w:basedOn w:val="Normln"/>
    <w:link w:val="ZkladntextodsazenChar"/>
    <w:semiHidden/>
    <w:rsid w:val="00FD5C68"/>
    <w:pPr>
      <w:spacing w:before="120"/>
      <w:ind w:firstLine="709"/>
      <w:jc w:val="both"/>
    </w:pPr>
    <w:rPr>
      <w:rFonts w:ascii="Arial" w:eastAsia="Times New Roman" w:hAnsi="Arial" w:cs="Arial"/>
      <w:i/>
      <w:iCs/>
      <w:sz w:val="20"/>
      <w:szCs w:val="26"/>
      <w:lang w:val="en-GB" w:eastAsia="cs-CZ"/>
    </w:rPr>
  </w:style>
  <w:style w:type="character" w:customStyle="1" w:styleId="ZkladntextodsazenChar">
    <w:name w:val="Základní text odsazený Char"/>
    <w:basedOn w:val="Standardnpsmoodstavce"/>
    <w:link w:val="Zkladntextodsazen"/>
    <w:semiHidden/>
    <w:rsid w:val="00FD5C68"/>
    <w:rPr>
      <w:rFonts w:ascii="Arial" w:eastAsia="Times New Roman" w:hAnsi="Arial" w:cs="Arial"/>
      <w:i/>
      <w:iCs/>
      <w:szCs w:val="26"/>
      <w:lang w:val="en-GB"/>
    </w:rPr>
  </w:style>
  <w:style w:type="paragraph" w:styleId="Zkladntextodsazen2">
    <w:name w:val="Body Text Indent 2"/>
    <w:basedOn w:val="Normln"/>
    <w:link w:val="Zkladntextodsazen2Char"/>
    <w:semiHidden/>
    <w:rsid w:val="00FD5C68"/>
    <w:pPr>
      <w:spacing w:after="120" w:line="480" w:lineRule="auto"/>
      <w:ind w:left="283"/>
      <w:jc w:val="both"/>
    </w:pPr>
    <w:rPr>
      <w:rFonts w:ascii="Arial" w:eastAsia="Times New Roman" w:hAnsi="Arial"/>
      <w:sz w:val="20"/>
      <w:szCs w:val="24"/>
      <w:lang w:eastAsia="cs-CZ"/>
    </w:rPr>
  </w:style>
  <w:style w:type="character" w:customStyle="1" w:styleId="Zkladntextodsazen2Char">
    <w:name w:val="Základní text odsazený 2 Char"/>
    <w:basedOn w:val="Standardnpsmoodstavce"/>
    <w:link w:val="Zkladntextodsazen2"/>
    <w:semiHidden/>
    <w:rsid w:val="00FD5C68"/>
    <w:rPr>
      <w:rFonts w:ascii="Arial" w:eastAsia="Times New Roman" w:hAnsi="Arial"/>
      <w:szCs w:val="24"/>
    </w:rPr>
  </w:style>
  <w:style w:type="paragraph" w:styleId="Zhlav">
    <w:name w:val="header"/>
    <w:basedOn w:val="Normln"/>
    <w:link w:val="ZhlavChar"/>
    <w:semiHidden/>
    <w:rsid w:val="00FD5C68"/>
    <w:pPr>
      <w:tabs>
        <w:tab w:val="center" w:pos="4536"/>
        <w:tab w:val="right" w:pos="9072"/>
      </w:tabs>
      <w:jc w:val="both"/>
    </w:pPr>
    <w:rPr>
      <w:rFonts w:ascii="Arial" w:eastAsia="Times New Roman" w:hAnsi="Arial"/>
      <w:sz w:val="20"/>
      <w:szCs w:val="24"/>
      <w:lang w:eastAsia="cs-CZ"/>
    </w:rPr>
  </w:style>
  <w:style w:type="character" w:customStyle="1" w:styleId="ZhlavChar">
    <w:name w:val="Záhlaví Char"/>
    <w:basedOn w:val="Standardnpsmoodstavce"/>
    <w:link w:val="Zhlav"/>
    <w:semiHidden/>
    <w:rsid w:val="00FD5C68"/>
    <w:rPr>
      <w:rFonts w:ascii="Arial" w:eastAsia="Times New Roman" w:hAnsi="Arial"/>
      <w:szCs w:val="24"/>
    </w:rPr>
  </w:style>
  <w:style w:type="character" w:styleId="Sledovanodkaz">
    <w:name w:val="FollowedHyperlink"/>
    <w:basedOn w:val="Standardnpsmoodstavce"/>
    <w:semiHidden/>
    <w:rsid w:val="00FD5C68"/>
    <w:rPr>
      <w:color w:val="800080"/>
      <w:u w:val="single"/>
    </w:rPr>
  </w:style>
  <w:style w:type="paragraph" w:styleId="Textbubliny">
    <w:name w:val="Balloon Text"/>
    <w:basedOn w:val="Normln"/>
    <w:link w:val="TextbublinyChar"/>
    <w:uiPriority w:val="99"/>
    <w:semiHidden/>
    <w:unhideWhenUsed/>
    <w:rsid w:val="00FD5C68"/>
    <w:pPr>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D5C68"/>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FD5C68"/>
    <w:rPr>
      <w:sz w:val="16"/>
      <w:szCs w:val="16"/>
    </w:rPr>
  </w:style>
  <w:style w:type="paragraph" w:styleId="Textkomente">
    <w:name w:val="annotation text"/>
    <w:basedOn w:val="Normln"/>
    <w:link w:val="TextkomenteChar"/>
    <w:uiPriority w:val="99"/>
    <w:semiHidden/>
    <w:unhideWhenUsed/>
    <w:rsid w:val="00FD5C68"/>
    <w:pPr>
      <w:jc w:val="both"/>
    </w:pPr>
    <w:rPr>
      <w:rFonts w:ascii="Arial" w:eastAsia="Times New Roman" w:hAnsi="Arial"/>
      <w:sz w:val="20"/>
      <w:szCs w:val="20"/>
      <w:lang w:eastAsia="cs-CZ"/>
    </w:rPr>
  </w:style>
  <w:style w:type="character" w:customStyle="1" w:styleId="TextkomenteChar">
    <w:name w:val="Text komentáře Char"/>
    <w:basedOn w:val="Standardnpsmoodstavce"/>
    <w:link w:val="Textkomente"/>
    <w:uiPriority w:val="99"/>
    <w:semiHidden/>
    <w:rsid w:val="00FD5C6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FD5C68"/>
    <w:rPr>
      <w:b/>
      <w:bCs/>
    </w:rPr>
  </w:style>
  <w:style w:type="character" w:customStyle="1" w:styleId="PedmtkomenteChar">
    <w:name w:val="Předmět komentáře Char"/>
    <w:basedOn w:val="TextkomenteChar"/>
    <w:link w:val="Pedmtkomente"/>
    <w:uiPriority w:val="99"/>
    <w:semiHidden/>
    <w:rsid w:val="00FD5C68"/>
    <w:rPr>
      <w:b/>
      <w:bCs/>
    </w:rPr>
  </w:style>
  <w:style w:type="paragraph" w:styleId="Revize">
    <w:name w:val="Revision"/>
    <w:hidden/>
    <w:uiPriority w:val="99"/>
    <w:semiHidden/>
    <w:rsid w:val="00FE43E3"/>
    <w:rPr>
      <w:sz w:val="24"/>
      <w:szCs w:val="22"/>
      <w:lang w:eastAsia="en-US"/>
    </w:rPr>
  </w:style>
  <w:style w:type="character" w:styleId="Zvraznn">
    <w:name w:val="Emphasis"/>
    <w:basedOn w:val="Standardnpsmoodstavce"/>
    <w:uiPriority w:val="20"/>
    <w:qFormat/>
    <w:rsid w:val="001A7CC5"/>
    <w:rPr>
      <w:i/>
      <w:iCs/>
    </w:rPr>
  </w:style>
</w:styles>
</file>

<file path=word/webSettings.xml><?xml version="1.0" encoding="utf-8"?>
<w:webSettings xmlns:r="http://schemas.openxmlformats.org/officeDocument/2006/relationships" xmlns:w="http://schemas.openxmlformats.org/wordprocessingml/2006/main">
  <w:divs>
    <w:div w:id="15429869">
      <w:bodyDiv w:val="1"/>
      <w:marLeft w:val="0"/>
      <w:marRight w:val="0"/>
      <w:marTop w:val="0"/>
      <w:marBottom w:val="0"/>
      <w:divBdr>
        <w:top w:val="none" w:sz="0" w:space="0" w:color="auto"/>
        <w:left w:val="none" w:sz="0" w:space="0" w:color="auto"/>
        <w:bottom w:val="none" w:sz="0" w:space="0" w:color="auto"/>
        <w:right w:val="none" w:sz="0" w:space="0" w:color="auto"/>
      </w:divBdr>
      <w:divsChild>
        <w:div w:id="297689645">
          <w:marLeft w:val="0"/>
          <w:marRight w:val="0"/>
          <w:marTop w:val="0"/>
          <w:marBottom w:val="0"/>
          <w:divBdr>
            <w:top w:val="none" w:sz="0" w:space="0" w:color="auto"/>
            <w:left w:val="none" w:sz="0" w:space="0" w:color="auto"/>
            <w:bottom w:val="none" w:sz="0" w:space="0" w:color="auto"/>
            <w:right w:val="none" w:sz="0" w:space="0" w:color="auto"/>
          </w:divBdr>
        </w:div>
      </w:divsChild>
    </w:div>
    <w:div w:id="44455068">
      <w:bodyDiv w:val="1"/>
      <w:marLeft w:val="0"/>
      <w:marRight w:val="0"/>
      <w:marTop w:val="0"/>
      <w:marBottom w:val="0"/>
      <w:divBdr>
        <w:top w:val="none" w:sz="0" w:space="0" w:color="auto"/>
        <w:left w:val="none" w:sz="0" w:space="0" w:color="auto"/>
        <w:bottom w:val="none" w:sz="0" w:space="0" w:color="auto"/>
        <w:right w:val="none" w:sz="0" w:space="0" w:color="auto"/>
      </w:divBdr>
    </w:div>
    <w:div w:id="142086678">
      <w:bodyDiv w:val="1"/>
      <w:marLeft w:val="0"/>
      <w:marRight w:val="0"/>
      <w:marTop w:val="0"/>
      <w:marBottom w:val="0"/>
      <w:divBdr>
        <w:top w:val="none" w:sz="0" w:space="0" w:color="auto"/>
        <w:left w:val="none" w:sz="0" w:space="0" w:color="auto"/>
        <w:bottom w:val="none" w:sz="0" w:space="0" w:color="auto"/>
        <w:right w:val="none" w:sz="0" w:space="0" w:color="auto"/>
      </w:divBdr>
    </w:div>
    <w:div w:id="177501108">
      <w:bodyDiv w:val="1"/>
      <w:marLeft w:val="0"/>
      <w:marRight w:val="0"/>
      <w:marTop w:val="0"/>
      <w:marBottom w:val="0"/>
      <w:divBdr>
        <w:top w:val="none" w:sz="0" w:space="0" w:color="auto"/>
        <w:left w:val="none" w:sz="0" w:space="0" w:color="auto"/>
        <w:bottom w:val="none" w:sz="0" w:space="0" w:color="auto"/>
        <w:right w:val="none" w:sz="0" w:space="0" w:color="auto"/>
      </w:divBdr>
      <w:divsChild>
        <w:div w:id="1817647929">
          <w:marLeft w:val="-75"/>
          <w:marRight w:val="180"/>
          <w:marTop w:val="0"/>
          <w:marBottom w:val="0"/>
          <w:divBdr>
            <w:top w:val="none" w:sz="0" w:space="0" w:color="auto"/>
            <w:left w:val="none" w:sz="0" w:space="0" w:color="auto"/>
            <w:bottom w:val="single" w:sz="6" w:space="3" w:color="000000"/>
            <w:right w:val="none" w:sz="0" w:space="0" w:color="auto"/>
          </w:divBdr>
        </w:div>
        <w:div w:id="2042776618">
          <w:marLeft w:val="150"/>
          <w:marRight w:val="150"/>
          <w:marTop w:val="150"/>
          <w:marBottom w:val="150"/>
          <w:divBdr>
            <w:top w:val="none" w:sz="0" w:space="0" w:color="auto"/>
            <w:left w:val="none" w:sz="0" w:space="0" w:color="auto"/>
            <w:bottom w:val="none" w:sz="0" w:space="0" w:color="auto"/>
            <w:right w:val="none" w:sz="0" w:space="0" w:color="auto"/>
          </w:divBdr>
        </w:div>
      </w:divsChild>
    </w:div>
    <w:div w:id="193622512">
      <w:bodyDiv w:val="1"/>
      <w:marLeft w:val="0"/>
      <w:marRight w:val="0"/>
      <w:marTop w:val="0"/>
      <w:marBottom w:val="0"/>
      <w:divBdr>
        <w:top w:val="none" w:sz="0" w:space="0" w:color="auto"/>
        <w:left w:val="none" w:sz="0" w:space="0" w:color="auto"/>
        <w:bottom w:val="none" w:sz="0" w:space="0" w:color="auto"/>
        <w:right w:val="none" w:sz="0" w:space="0" w:color="auto"/>
      </w:divBdr>
    </w:div>
    <w:div w:id="382215029">
      <w:bodyDiv w:val="1"/>
      <w:marLeft w:val="0"/>
      <w:marRight w:val="0"/>
      <w:marTop w:val="0"/>
      <w:marBottom w:val="0"/>
      <w:divBdr>
        <w:top w:val="none" w:sz="0" w:space="0" w:color="auto"/>
        <w:left w:val="none" w:sz="0" w:space="0" w:color="auto"/>
        <w:bottom w:val="none" w:sz="0" w:space="0" w:color="auto"/>
        <w:right w:val="none" w:sz="0" w:space="0" w:color="auto"/>
      </w:divBdr>
    </w:div>
    <w:div w:id="425156944">
      <w:bodyDiv w:val="1"/>
      <w:marLeft w:val="0"/>
      <w:marRight w:val="0"/>
      <w:marTop w:val="0"/>
      <w:marBottom w:val="0"/>
      <w:divBdr>
        <w:top w:val="none" w:sz="0" w:space="0" w:color="auto"/>
        <w:left w:val="none" w:sz="0" w:space="0" w:color="auto"/>
        <w:bottom w:val="none" w:sz="0" w:space="0" w:color="auto"/>
        <w:right w:val="none" w:sz="0" w:space="0" w:color="auto"/>
      </w:divBdr>
    </w:div>
    <w:div w:id="432894271">
      <w:bodyDiv w:val="1"/>
      <w:marLeft w:val="0"/>
      <w:marRight w:val="0"/>
      <w:marTop w:val="0"/>
      <w:marBottom w:val="0"/>
      <w:divBdr>
        <w:top w:val="none" w:sz="0" w:space="0" w:color="auto"/>
        <w:left w:val="none" w:sz="0" w:space="0" w:color="auto"/>
        <w:bottom w:val="none" w:sz="0" w:space="0" w:color="auto"/>
        <w:right w:val="none" w:sz="0" w:space="0" w:color="auto"/>
      </w:divBdr>
    </w:div>
    <w:div w:id="487015069">
      <w:bodyDiv w:val="1"/>
      <w:marLeft w:val="0"/>
      <w:marRight w:val="0"/>
      <w:marTop w:val="0"/>
      <w:marBottom w:val="0"/>
      <w:divBdr>
        <w:top w:val="none" w:sz="0" w:space="0" w:color="auto"/>
        <w:left w:val="none" w:sz="0" w:space="0" w:color="auto"/>
        <w:bottom w:val="none" w:sz="0" w:space="0" w:color="auto"/>
        <w:right w:val="none" w:sz="0" w:space="0" w:color="auto"/>
      </w:divBdr>
    </w:div>
    <w:div w:id="658115020">
      <w:bodyDiv w:val="1"/>
      <w:marLeft w:val="0"/>
      <w:marRight w:val="0"/>
      <w:marTop w:val="0"/>
      <w:marBottom w:val="0"/>
      <w:divBdr>
        <w:top w:val="none" w:sz="0" w:space="0" w:color="auto"/>
        <w:left w:val="none" w:sz="0" w:space="0" w:color="auto"/>
        <w:bottom w:val="none" w:sz="0" w:space="0" w:color="auto"/>
        <w:right w:val="none" w:sz="0" w:space="0" w:color="auto"/>
      </w:divBdr>
      <w:divsChild>
        <w:div w:id="988434782">
          <w:marLeft w:val="-75"/>
          <w:marRight w:val="180"/>
          <w:marTop w:val="0"/>
          <w:marBottom w:val="0"/>
          <w:divBdr>
            <w:top w:val="none" w:sz="0" w:space="0" w:color="auto"/>
            <w:left w:val="none" w:sz="0" w:space="0" w:color="auto"/>
            <w:bottom w:val="single" w:sz="6" w:space="3" w:color="000000"/>
            <w:right w:val="none" w:sz="0" w:space="0" w:color="auto"/>
          </w:divBdr>
        </w:div>
      </w:divsChild>
    </w:div>
    <w:div w:id="668020534">
      <w:bodyDiv w:val="1"/>
      <w:marLeft w:val="0"/>
      <w:marRight w:val="0"/>
      <w:marTop w:val="0"/>
      <w:marBottom w:val="0"/>
      <w:divBdr>
        <w:top w:val="none" w:sz="0" w:space="0" w:color="auto"/>
        <w:left w:val="none" w:sz="0" w:space="0" w:color="auto"/>
        <w:bottom w:val="none" w:sz="0" w:space="0" w:color="auto"/>
        <w:right w:val="none" w:sz="0" w:space="0" w:color="auto"/>
      </w:divBdr>
    </w:div>
    <w:div w:id="711079733">
      <w:bodyDiv w:val="1"/>
      <w:marLeft w:val="0"/>
      <w:marRight w:val="0"/>
      <w:marTop w:val="0"/>
      <w:marBottom w:val="0"/>
      <w:divBdr>
        <w:top w:val="none" w:sz="0" w:space="0" w:color="auto"/>
        <w:left w:val="none" w:sz="0" w:space="0" w:color="auto"/>
        <w:bottom w:val="none" w:sz="0" w:space="0" w:color="auto"/>
        <w:right w:val="none" w:sz="0" w:space="0" w:color="auto"/>
      </w:divBdr>
    </w:div>
    <w:div w:id="712114838">
      <w:bodyDiv w:val="1"/>
      <w:marLeft w:val="0"/>
      <w:marRight w:val="0"/>
      <w:marTop w:val="0"/>
      <w:marBottom w:val="0"/>
      <w:divBdr>
        <w:top w:val="none" w:sz="0" w:space="0" w:color="auto"/>
        <w:left w:val="none" w:sz="0" w:space="0" w:color="auto"/>
        <w:bottom w:val="none" w:sz="0" w:space="0" w:color="auto"/>
        <w:right w:val="none" w:sz="0" w:space="0" w:color="auto"/>
      </w:divBdr>
    </w:div>
    <w:div w:id="721289341">
      <w:bodyDiv w:val="1"/>
      <w:marLeft w:val="0"/>
      <w:marRight w:val="0"/>
      <w:marTop w:val="0"/>
      <w:marBottom w:val="0"/>
      <w:divBdr>
        <w:top w:val="none" w:sz="0" w:space="0" w:color="auto"/>
        <w:left w:val="none" w:sz="0" w:space="0" w:color="auto"/>
        <w:bottom w:val="none" w:sz="0" w:space="0" w:color="auto"/>
        <w:right w:val="none" w:sz="0" w:space="0" w:color="auto"/>
      </w:divBdr>
    </w:div>
    <w:div w:id="897283963">
      <w:bodyDiv w:val="1"/>
      <w:marLeft w:val="0"/>
      <w:marRight w:val="0"/>
      <w:marTop w:val="0"/>
      <w:marBottom w:val="0"/>
      <w:divBdr>
        <w:top w:val="none" w:sz="0" w:space="0" w:color="auto"/>
        <w:left w:val="none" w:sz="0" w:space="0" w:color="auto"/>
        <w:bottom w:val="none" w:sz="0" w:space="0" w:color="auto"/>
        <w:right w:val="none" w:sz="0" w:space="0" w:color="auto"/>
      </w:divBdr>
    </w:div>
    <w:div w:id="1101726556">
      <w:bodyDiv w:val="1"/>
      <w:marLeft w:val="0"/>
      <w:marRight w:val="0"/>
      <w:marTop w:val="0"/>
      <w:marBottom w:val="0"/>
      <w:divBdr>
        <w:top w:val="none" w:sz="0" w:space="0" w:color="auto"/>
        <w:left w:val="none" w:sz="0" w:space="0" w:color="auto"/>
        <w:bottom w:val="none" w:sz="0" w:space="0" w:color="auto"/>
        <w:right w:val="none" w:sz="0" w:space="0" w:color="auto"/>
      </w:divBdr>
      <w:divsChild>
        <w:div w:id="517935745">
          <w:marLeft w:val="-75"/>
          <w:marRight w:val="180"/>
          <w:marTop w:val="0"/>
          <w:marBottom w:val="0"/>
          <w:divBdr>
            <w:top w:val="none" w:sz="0" w:space="0" w:color="auto"/>
            <w:left w:val="none" w:sz="0" w:space="0" w:color="auto"/>
            <w:bottom w:val="single" w:sz="6" w:space="3" w:color="000000"/>
            <w:right w:val="none" w:sz="0" w:space="0" w:color="auto"/>
          </w:divBdr>
        </w:div>
        <w:div w:id="1782068026">
          <w:marLeft w:val="150"/>
          <w:marRight w:val="150"/>
          <w:marTop w:val="150"/>
          <w:marBottom w:val="150"/>
          <w:divBdr>
            <w:top w:val="none" w:sz="0" w:space="0" w:color="auto"/>
            <w:left w:val="none" w:sz="0" w:space="0" w:color="auto"/>
            <w:bottom w:val="none" w:sz="0" w:space="0" w:color="auto"/>
            <w:right w:val="none" w:sz="0" w:space="0" w:color="auto"/>
          </w:divBdr>
        </w:div>
      </w:divsChild>
    </w:div>
    <w:div w:id="1142650728">
      <w:bodyDiv w:val="1"/>
      <w:marLeft w:val="0"/>
      <w:marRight w:val="0"/>
      <w:marTop w:val="0"/>
      <w:marBottom w:val="0"/>
      <w:divBdr>
        <w:top w:val="none" w:sz="0" w:space="0" w:color="auto"/>
        <w:left w:val="none" w:sz="0" w:space="0" w:color="auto"/>
        <w:bottom w:val="none" w:sz="0" w:space="0" w:color="auto"/>
        <w:right w:val="none" w:sz="0" w:space="0" w:color="auto"/>
      </w:divBdr>
    </w:div>
    <w:div w:id="1256552591">
      <w:bodyDiv w:val="1"/>
      <w:marLeft w:val="0"/>
      <w:marRight w:val="0"/>
      <w:marTop w:val="0"/>
      <w:marBottom w:val="0"/>
      <w:divBdr>
        <w:top w:val="none" w:sz="0" w:space="0" w:color="auto"/>
        <w:left w:val="none" w:sz="0" w:space="0" w:color="auto"/>
        <w:bottom w:val="none" w:sz="0" w:space="0" w:color="auto"/>
        <w:right w:val="none" w:sz="0" w:space="0" w:color="auto"/>
      </w:divBdr>
    </w:div>
    <w:div w:id="1530677265">
      <w:bodyDiv w:val="1"/>
      <w:marLeft w:val="0"/>
      <w:marRight w:val="0"/>
      <w:marTop w:val="0"/>
      <w:marBottom w:val="0"/>
      <w:divBdr>
        <w:top w:val="none" w:sz="0" w:space="0" w:color="auto"/>
        <w:left w:val="none" w:sz="0" w:space="0" w:color="auto"/>
        <w:bottom w:val="none" w:sz="0" w:space="0" w:color="auto"/>
        <w:right w:val="none" w:sz="0" w:space="0" w:color="auto"/>
      </w:divBdr>
    </w:div>
    <w:div w:id="1647197444">
      <w:bodyDiv w:val="1"/>
      <w:marLeft w:val="0"/>
      <w:marRight w:val="0"/>
      <w:marTop w:val="0"/>
      <w:marBottom w:val="0"/>
      <w:divBdr>
        <w:top w:val="none" w:sz="0" w:space="0" w:color="auto"/>
        <w:left w:val="none" w:sz="0" w:space="0" w:color="auto"/>
        <w:bottom w:val="none" w:sz="0" w:space="0" w:color="auto"/>
        <w:right w:val="none" w:sz="0" w:space="0" w:color="auto"/>
      </w:divBdr>
      <w:divsChild>
        <w:div w:id="800536592">
          <w:marLeft w:val="0"/>
          <w:marRight w:val="0"/>
          <w:marTop w:val="0"/>
          <w:marBottom w:val="0"/>
          <w:divBdr>
            <w:top w:val="none" w:sz="0" w:space="0" w:color="auto"/>
            <w:left w:val="none" w:sz="0" w:space="0" w:color="auto"/>
            <w:bottom w:val="none" w:sz="0" w:space="0" w:color="auto"/>
            <w:right w:val="none" w:sz="0" w:space="0" w:color="auto"/>
          </w:divBdr>
        </w:div>
      </w:divsChild>
    </w:div>
    <w:div w:id="1673948521">
      <w:bodyDiv w:val="1"/>
      <w:marLeft w:val="0"/>
      <w:marRight w:val="0"/>
      <w:marTop w:val="0"/>
      <w:marBottom w:val="0"/>
      <w:divBdr>
        <w:top w:val="none" w:sz="0" w:space="0" w:color="auto"/>
        <w:left w:val="none" w:sz="0" w:space="0" w:color="auto"/>
        <w:bottom w:val="none" w:sz="0" w:space="0" w:color="auto"/>
        <w:right w:val="none" w:sz="0" w:space="0" w:color="auto"/>
      </w:divBdr>
    </w:div>
    <w:div w:id="1737825233">
      <w:bodyDiv w:val="1"/>
      <w:marLeft w:val="0"/>
      <w:marRight w:val="0"/>
      <w:marTop w:val="0"/>
      <w:marBottom w:val="0"/>
      <w:divBdr>
        <w:top w:val="none" w:sz="0" w:space="0" w:color="auto"/>
        <w:left w:val="none" w:sz="0" w:space="0" w:color="auto"/>
        <w:bottom w:val="none" w:sz="0" w:space="0" w:color="auto"/>
        <w:right w:val="none" w:sz="0" w:space="0" w:color="auto"/>
      </w:divBdr>
    </w:div>
    <w:div w:id="1876194165">
      <w:bodyDiv w:val="1"/>
      <w:marLeft w:val="0"/>
      <w:marRight w:val="0"/>
      <w:marTop w:val="0"/>
      <w:marBottom w:val="0"/>
      <w:divBdr>
        <w:top w:val="none" w:sz="0" w:space="0" w:color="auto"/>
        <w:left w:val="none" w:sz="0" w:space="0" w:color="auto"/>
        <w:bottom w:val="none" w:sz="0" w:space="0" w:color="auto"/>
        <w:right w:val="none" w:sz="0" w:space="0" w:color="auto"/>
      </w:divBdr>
    </w:div>
    <w:div w:id="1981766508">
      <w:bodyDiv w:val="1"/>
      <w:marLeft w:val="0"/>
      <w:marRight w:val="0"/>
      <w:marTop w:val="0"/>
      <w:marBottom w:val="0"/>
      <w:divBdr>
        <w:top w:val="none" w:sz="0" w:space="0" w:color="auto"/>
        <w:left w:val="none" w:sz="0" w:space="0" w:color="auto"/>
        <w:bottom w:val="none" w:sz="0" w:space="0" w:color="auto"/>
        <w:right w:val="none" w:sz="0" w:space="0" w:color="auto"/>
      </w:divBdr>
    </w:div>
    <w:div w:id="2029485623">
      <w:bodyDiv w:val="1"/>
      <w:marLeft w:val="0"/>
      <w:marRight w:val="0"/>
      <w:marTop w:val="0"/>
      <w:marBottom w:val="0"/>
      <w:divBdr>
        <w:top w:val="none" w:sz="0" w:space="0" w:color="auto"/>
        <w:left w:val="none" w:sz="0" w:space="0" w:color="auto"/>
        <w:bottom w:val="none" w:sz="0" w:space="0" w:color="auto"/>
        <w:right w:val="none" w:sz="0" w:space="0" w:color="auto"/>
      </w:divBdr>
    </w:div>
    <w:div w:id="2046632192">
      <w:bodyDiv w:val="1"/>
      <w:marLeft w:val="0"/>
      <w:marRight w:val="0"/>
      <w:marTop w:val="0"/>
      <w:marBottom w:val="0"/>
      <w:divBdr>
        <w:top w:val="none" w:sz="0" w:space="0" w:color="auto"/>
        <w:left w:val="none" w:sz="0" w:space="0" w:color="auto"/>
        <w:bottom w:val="none" w:sz="0" w:space="0" w:color="auto"/>
        <w:right w:val="none" w:sz="0" w:space="0" w:color="auto"/>
      </w:divBdr>
    </w:div>
    <w:div w:id="2050640071">
      <w:bodyDiv w:val="1"/>
      <w:marLeft w:val="0"/>
      <w:marRight w:val="0"/>
      <w:marTop w:val="0"/>
      <w:marBottom w:val="0"/>
      <w:divBdr>
        <w:top w:val="none" w:sz="0" w:space="0" w:color="auto"/>
        <w:left w:val="none" w:sz="0" w:space="0" w:color="auto"/>
        <w:bottom w:val="none" w:sz="0" w:space="0" w:color="auto"/>
        <w:right w:val="none" w:sz="0" w:space="0" w:color="auto"/>
      </w:divBdr>
      <w:divsChild>
        <w:div w:id="399988548">
          <w:marLeft w:val="-75"/>
          <w:marRight w:val="180"/>
          <w:marTop w:val="0"/>
          <w:marBottom w:val="0"/>
          <w:divBdr>
            <w:top w:val="none" w:sz="0" w:space="0" w:color="auto"/>
            <w:left w:val="none" w:sz="0" w:space="0" w:color="auto"/>
            <w:bottom w:val="single" w:sz="6" w:space="3" w:color="000000"/>
            <w:right w:val="none" w:sz="0" w:space="0" w:color="auto"/>
          </w:divBdr>
        </w:div>
      </w:divsChild>
    </w:div>
    <w:div w:id="2120488753">
      <w:bodyDiv w:val="1"/>
      <w:marLeft w:val="0"/>
      <w:marRight w:val="0"/>
      <w:marTop w:val="0"/>
      <w:marBottom w:val="0"/>
      <w:divBdr>
        <w:top w:val="none" w:sz="0" w:space="0" w:color="auto"/>
        <w:left w:val="none" w:sz="0" w:space="0" w:color="auto"/>
        <w:bottom w:val="none" w:sz="0" w:space="0" w:color="auto"/>
        <w:right w:val="none" w:sz="0" w:space="0" w:color="auto"/>
      </w:divBdr>
    </w:div>
    <w:div w:id="2122412137">
      <w:bodyDiv w:val="1"/>
      <w:marLeft w:val="0"/>
      <w:marRight w:val="0"/>
      <w:marTop w:val="0"/>
      <w:marBottom w:val="0"/>
      <w:divBdr>
        <w:top w:val="none" w:sz="0" w:space="0" w:color="auto"/>
        <w:left w:val="none" w:sz="0" w:space="0" w:color="auto"/>
        <w:bottom w:val="none" w:sz="0" w:space="0" w:color="auto"/>
        <w:right w:val="none" w:sz="0" w:space="0" w:color="auto"/>
      </w:divBdr>
      <w:divsChild>
        <w:div w:id="1553610632">
          <w:marLeft w:val="0"/>
          <w:marRight w:val="0"/>
          <w:marTop w:val="0"/>
          <w:marBottom w:val="0"/>
          <w:divBdr>
            <w:top w:val="none" w:sz="0" w:space="0" w:color="auto"/>
            <w:left w:val="none" w:sz="0" w:space="0" w:color="auto"/>
            <w:bottom w:val="none" w:sz="0" w:space="0" w:color="auto"/>
            <w:right w:val="none" w:sz="0" w:space="0" w:color="auto"/>
          </w:divBdr>
        </w:div>
      </w:divsChild>
    </w:div>
    <w:div w:id="212364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european_data_esds_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eurosta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CF5A-863B-46AF-87B7-E579D556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1892</Words>
  <Characters>11169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13035</CharactersWithSpaces>
  <SharedDoc>false</SharedDoc>
  <HLinks>
    <vt:vector size="18" baseType="variant">
      <vt:variant>
        <vt:i4>5308490</vt:i4>
      </vt:variant>
      <vt:variant>
        <vt:i4>6</vt:i4>
      </vt:variant>
      <vt:variant>
        <vt:i4>0</vt:i4>
      </vt:variant>
      <vt:variant>
        <vt:i4>5</vt:i4>
      </vt:variant>
      <vt:variant>
        <vt:lpwstr>http://epp.eurostat.ec.europa.eu/portal/page/portal/eurostat/home</vt:lpwstr>
      </vt:variant>
      <vt:variant>
        <vt:lpwstr/>
      </vt:variant>
      <vt:variant>
        <vt:i4>6684745</vt:i4>
      </vt:variant>
      <vt:variant>
        <vt:i4>3</vt:i4>
      </vt:variant>
      <vt:variant>
        <vt:i4>0</vt:i4>
      </vt:variant>
      <vt:variant>
        <vt:i4>5</vt:i4>
      </vt:variant>
      <vt:variant>
        <vt:lpwstr>http://www.czso.cz/eng/redakce.nsf/i/european_data_esds_eu</vt:lpwstr>
      </vt:variant>
      <vt:variant>
        <vt:lpwstr/>
      </vt:variant>
      <vt:variant>
        <vt:i4>6553709</vt:i4>
      </vt:variant>
      <vt:variant>
        <vt:i4>0</vt:i4>
      </vt:variant>
      <vt:variant>
        <vt:i4>0</vt:i4>
      </vt:variant>
      <vt:variant>
        <vt:i4>5</vt:i4>
      </vt:variant>
      <vt:variant>
        <vt:lpwstr>http://www.czso.cz/csu/2010edicniplan.nsf/p/1607-10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cabicarova912</dc:creator>
  <cp:lastModifiedBy>novotna17122</cp:lastModifiedBy>
  <cp:revision>3</cp:revision>
  <cp:lastPrinted>2015-09-23T06:56:00Z</cp:lastPrinted>
  <dcterms:created xsi:type="dcterms:W3CDTF">2015-10-12T10:41:00Z</dcterms:created>
  <dcterms:modified xsi:type="dcterms:W3CDTF">2016-06-03T10:20:00Z</dcterms:modified>
</cp:coreProperties>
</file>