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EE0608" w:rsidP="00EE0608">
      <w:pPr>
        <w:pStyle w:val="datum0"/>
        <w:rPr>
          <w:lang w:val="en-GB"/>
        </w:rPr>
      </w:pPr>
      <w:r>
        <w:rPr>
          <w:lang w:val="en-GB"/>
        </w:rPr>
        <w:t xml:space="preserve">9 </w:t>
      </w:r>
      <w:r w:rsidR="00F108F9">
        <w:rPr>
          <w:lang w:val="en-GB"/>
        </w:rPr>
        <w:t>January</w:t>
      </w:r>
      <w:r>
        <w:rPr>
          <w:lang w:val="en-GB"/>
        </w:rPr>
        <w:t xml:space="preserve"> </w:t>
      </w:r>
      <w:r w:rsidRPr="00F4523A">
        <w:rPr>
          <w:lang w:val="en-GB"/>
        </w:rPr>
        <w:t>201</w:t>
      </w:r>
      <w:r w:rsidR="00F108F9">
        <w:rPr>
          <w:lang w:val="en-GB"/>
        </w:rPr>
        <w:t>5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F108F9">
        <w:t>4</w:t>
      </w:r>
      <w:r w:rsidRPr="00F90E31">
        <w:t xml:space="preserve"> 201</w:t>
      </w:r>
      <w:r w:rsidR="007763E8" w:rsidRPr="00F90E31">
        <w:t>4</w:t>
      </w:r>
      <w:r w:rsidRPr="00F90E31">
        <w:t xml:space="preserve"> </w:t>
      </w:r>
      <w:r w:rsidR="00F108F9">
        <w:t>and in the year 2014</w:t>
      </w:r>
    </w:p>
    <w:p w:rsidR="00D47BE8" w:rsidRDefault="00EE0608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total c</w:t>
      </w:r>
      <w:r w:rsidRPr="00F4523A">
        <w:rPr>
          <w:rFonts w:ascii="Arial" w:hAnsi="Arial" w:cs="Arial"/>
          <w:bCs w:val="0"/>
          <w:sz w:val="20"/>
          <w:szCs w:val="20"/>
        </w:rPr>
        <w:t>onsumer price</w:t>
      </w:r>
      <w:r>
        <w:rPr>
          <w:rFonts w:ascii="Arial" w:hAnsi="Arial" w:cs="Arial"/>
          <w:bCs w:val="0"/>
          <w:sz w:val="20"/>
          <w:szCs w:val="20"/>
        </w:rPr>
        <w:t xml:space="preserve"> level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  <w:r w:rsidR="00637F08">
        <w:rPr>
          <w:rFonts w:ascii="Arial" w:hAnsi="Arial" w:cs="Arial"/>
          <w:bCs w:val="0"/>
          <w:sz w:val="20"/>
          <w:szCs w:val="20"/>
        </w:rPr>
        <w:t>de</w:t>
      </w:r>
      <w:r w:rsidRPr="00240000">
        <w:rPr>
          <w:rFonts w:ascii="Arial" w:hAnsi="Arial" w:cs="Arial"/>
          <w:bCs w:val="0"/>
          <w:sz w:val="20"/>
          <w:szCs w:val="20"/>
        </w:rPr>
        <w:t xml:space="preserve">creased </w:t>
      </w:r>
      <w:r w:rsidR="001B3EB5">
        <w:rPr>
          <w:rFonts w:ascii="Arial" w:hAnsi="Arial" w:cs="Arial"/>
          <w:bCs w:val="0"/>
          <w:sz w:val="20"/>
          <w:szCs w:val="20"/>
        </w:rPr>
        <w:t>(</w:t>
      </w:r>
      <w:r w:rsidR="00637F08">
        <w:rPr>
          <w:rFonts w:ascii="Arial" w:hAnsi="Arial" w:cs="Arial"/>
          <w:bCs w:val="0"/>
          <w:sz w:val="20"/>
          <w:szCs w:val="20"/>
        </w:rPr>
        <w:t>-</w:t>
      </w:r>
      <w:r w:rsidRPr="00240000">
        <w:rPr>
          <w:rFonts w:ascii="Arial" w:hAnsi="Arial" w:cs="Arial"/>
          <w:bCs w:val="0"/>
          <w:sz w:val="20"/>
          <w:szCs w:val="20"/>
        </w:rPr>
        <w:t>0.</w:t>
      </w:r>
      <w:r w:rsidR="00637F08">
        <w:rPr>
          <w:rFonts w:ascii="Arial" w:hAnsi="Arial" w:cs="Arial"/>
          <w:bCs w:val="0"/>
          <w:sz w:val="20"/>
          <w:szCs w:val="20"/>
        </w:rPr>
        <w:t>2</w:t>
      </w:r>
      <w:r w:rsidRPr="00240000">
        <w:rPr>
          <w:rFonts w:ascii="Arial" w:hAnsi="Arial" w:cs="Arial"/>
          <w:bCs w:val="0"/>
          <w:sz w:val="20"/>
          <w:szCs w:val="20"/>
        </w:rPr>
        <w:t>%</w:t>
      </w:r>
      <w:r w:rsidR="001B3EB5">
        <w:rPr>
          <w:rFonts w:ascii="Arial" w:hAnsi="Arial" w:cs="Arial"/>
          <w:bCs w:val="0"/>
          <w:sz w:val="20"/>
          <w:szCs w:val="20"/>
        </w:rPr>
        <w:t>)</w:t>
      </w:r>
      <w:r w:rsidRPr="00F4523A">
        <w:rPr>
          <w:rFonts w:ascii="Arial" w:hAnsi="Arial" w:cs="Arial"/>
          <w:bCs w:val="0"/>
          <w:sz w:val="20"/>
          <w:szCs w:val="20"/>
        </w:rPr>
        <w:t xml:space="preserve"> in Q</w:t>
      </w:r>
      <w:r w:rsidR="00637F08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7763E8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637F08">
        <w:rPr>
          <w:rFonts w:ascii="Arial" w:hAnsi="Arial" w:cs="Arial"/>
          <w:bCs w:val="0"/>
          <w:sz w:val="20"/>
          <w:szCs w:val="20"/>
        </w:rPr>
        <w:t>3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AB514D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. </w:t>
      </w:r>
      <w:r>
        <w:rPr>
          <w:rFonts w:ascii="Arial" w:hAnsi="Arial" w:cs="Arial"/>
          <w:bCs w:val="0"/>
          <w:sz w:val="20"/>
          <w:szCs w:val="20"/>
        </w:rPr>
        <w:t xml:space="preserve">Consumer </w:t>
      </w:r>
      <w:r w:rsidRPr="00C369CC">
        <w:rPr>
          <w:rFonts w:ascii="Arial" w:hAnsi="Arial" w:cs="Arial"/>
          <w:bCs w:val="0"/>
          <w:sz w:val="20"/>
          <w:szCs w:val="20"/>
        </w:rPr>
        <w:t xml:space="preserve">prices rose by </w:t>
      </w:r>
      <w:r w:rsidR="00240000" w:rsidRPr="00C369CC">
        <w:rPr>
          <w:rFonts w:ascii="Arial" w:hAnsi="Arial" w:cs="Arial"/>
          <w:bCs w:val="0"/>
          <w:sz w:val="20"/>
          <w:szCs w:val="20"/>
        </w:rPr>
        <w:t>0</w:t>
      </w:r>
      <w:r w:rsidRPr="00C369CC">
        <w:rPr>
          <w:rFonts w:ascii="Arial" w:hAnsi="Arial" w:cs="Arial"/>
          <w:bCs w:val="0"/>
          <w:sz w:val="20"/>
          <w:szCs w:val="20"/>
        </w:rPr>
        <w:t>.</w:t>
      </w:r>
      <w:r w:rsidR="00637F08">
        <w:rPr>
          <w:rFonts w:ascii="Arial" w:hAnsi="Arial" w:cs="Arial"/>
          <w:bCs w:val="0"/>
          <w:sz w:val="20"/>
          <w:szCs w:val="20"/>
        </w:rPr>
        <w:t>5</w:t>
      </w:r>
      <w:r w:rsidRPr="00C369CC">
        <w:rPr>
          <w:rFonts w:ascii="Arial" w:hAnsi="Arial" w:cs="Arial"/>
          <w:bCs w:val="0"/>
          <w:sz w:val="20"/>
          <w:szCs w:val="20"/>
        </w:rPr>
        <w:t>% in Q</w:t>
      </w:r>
      <w:r w:rsidR="00637F08">
        <w:rPr>
          <w:rFonts w:ascii="Arial" w:hAnsi="Arial" w:cs="Arial"/>
          <w:bCs w:val="0"/>
          <w:sz w:val="20"/>
          <w:szCs w:val="20"/>
        </w:rPr>
        <w:t>4</w:t>
      </w:r>
      <w:r w:rsidRPr="00C369CC">
        <w:rPr>
          <w:rFonts w:ascii="Arial" w:hAnsi="Arial" w:cs="Arial"/>
          <w:bCs w:val="0"/>
          <w:sz w:val="20"/>
          <w:szCs w:val="20"/>
        </w:rPr>
        <w:t xml:space="preserve"> 201</w:t>
      </w:r>
      <w:r w:rsidR="0055343A" w:rsidRPr="00C369CC">
        <w:rPr>
          <w:rFonts w:ascii="Arial" w:hAnsi="Arial" w:cs="Arial"/>
          <w:bCs w:val="0"/>
          <w:sz w:val="20"/>
          <w:szCs w:val="20"/>
        </w:rPr>
        <w:t>4</w:t>
      </w:r>
      <w:r w:rsidRPr="00C369CC">
        <w:rPr>
          <w:rFonts w:ascii="Arial" w:hAnsi="Arial" w:cs="Arial"/>
          <w:bCs w:val="0"/>
          <w:sz w:val="20"/>
          <w:szCs w:val="20"/>
        </w:rPr>
        <w:t xml:space="preserve">, year-on-year, which was </w:t>
      </w:r>
      <w:r w:rsidR="001E5979">
        <w:rPr>
          <w:rFonts w:ascii="Arial" w:hAnsi="Arial" w:cs="Arial"/>
          <w:bCs w:val="0"/>
          <w:sz w:val="20"/>
          <w:szCs w:val="20"/>
        </w:rPr>
        <w:t>0.</w:t>
      </w:r>
      <w:r w:rsidR="00637F08">
        <w:rPr>
          <w:rFonts w:ascii="Arial" w:hAnsi="Arial" w:cs="Arial"/>
          <w:bCs w:val="0"/>
          <w:sz w:val="20"/>
          <w:szCs w:val="20"/>
        </w:rPr>
        <w:t>1</w:t>
      </w:r>
      <w:r w:rsidR="001E5979">
        <w:rPr>
          <w:rFonts w:ascii="Arial" w:hAnsi="Arial" w:cs="Arial"/>
          <w:bCs w:val="0"/>
          <w:sz w:val="20"/>
          <w:szCs w:val="20"/>
        </w:rPr>
        <w:t xml:space="preserve"> percentage point </w:t>
      </w:r>
      <w:r w:rsidR="00637F08">
        <w:rPr>
          <w:rFonts w:ascii="Arial" w:hAnsi="Arial" w:cs="Arial"/>
          <w:bCs w:val="0"/>
          <w:sz w:val="20"/>
          <w:szCs w:val="20"/>
        </w:rPr>
        <w:t>down</w:t>
      </w:r>
      <w:r w:rsidR="001E5979">
        <w:rPr>
          <w:rFonts w:ascii="Arial" w:hAnsi="Arial" w:cs="Arial"/>
          <w:bCs w:val="0"/>
          <w:sz w:val="20"/>
          <w:szCs w:val="20"/>
        </w:rPr>
        <w:t xml:space="preserve"> on</w:t>
      </w:r>
      <w:r w:rsidR="00F73962">
        <w:rPr>
          <w:rFonts w:ascii="Arial" w:hAnsi="Arial" w:cs="Arial"/>
          <w:bCs w:val="0"/>
          <w:sz w:val="20"/>
          <w:szCs w:val="20"/>
        </w:rPr>
        <w:t xml:space="preserve"> </w:t>
      </w:r>
      <w:r w:rsidRPr="00C369CC">
        <w:rPr>
          <w:rFonts w:ascii="Arial" w:hAnsi="Arial" w:cs="Arial"/>
          <w:bCs w:val="0"/>
          <w:sz w:val="20"/>
          <w:szCs w:val="20"/>
        </w:rPr>
        <w:t>Q</w:t>
      </w:r>
      <w:r w:rsidR="00637F08">
        <w:rPr>
          <w:rFonts w:ascii="Arial" w:hAnsi="Arial" w:cs="Arial"/>
          <w:bCs w:val="0"/>
          <w:sz w:val="20"/>
          <w:szCs w:val="20"/>
        </w:rPr>
        <w:t>3</w:t>
      </w:r>
      <w:r w:rsidRPr="00C369CC">
        <w:rPr>
          <w:rFonts w:ascii="Arial" w:hAnsi="Arial" w:cs="Arial"/>
          <w:bCs w:val="0"/>
          <w:sz w:val="20"/>
          <w:szCs w:val="20"/>
        </w:rPr>
        <w:t>.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0A16F6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price level </w:t>
      </w:r>
      <w:r w:rsidR="001B3EB5">
        <w:rPr>
          <w:rFonts w:ascii="Arial" w:hAnsi="Arial" w:cs="Arial"/>
          <w:b w:val="0"/>
          <w:sz w:val="20"/>
          <w:szCs w:val="20"/>
        </w:rPr>
        <w:t>de</w:t>
      </w:r>
      <w:r>
        <w:rPr>
          <w:rFonts w:ascii="Arial" w:hAnsi="Arial" w:cs="Arial"/>
          <w:b w:val="0"/>
          <w:sz w:val="20"/>
          <w:szCs w:val="20"/>
        </w:rPr>
        <w:t>c</w:t>
      </w:r>
      <w:r w:rsidR="006D0388">
        <w:rPr>
          <w:rFonts w:ascii="Arial" w:hAnsi="Arial" w:cs="Arial"/>
          <w:b w:val="0"/>
          <w:sz w:val="20"/>
          <w:szCs w:val="20"/>
        </w:rPr>
        <w:t>line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8C4A0B">
        <w:rPr>
          <w:rFonts w:ascii="Arial" w:hAnsi="Arial" w:cs="Arial"/>
          <w:b w:val="0"/>
          <w:sz w:val="20"/>
          <w:szCs w:val="20"/>
        </w:rPr>
        <w:t>(-</w:t>
      </w:r>
      <w:r w:rsidR="00AF47DF">
        <w:rPr>
          <w:rFonts w:ascii="Arial" w:hAnsi="Arial" w:cs="Arial"/>
          <w:b w:val="0"/>
          <w:sz w:val="20"/>
          <w:szCs w:val="20"/>
        </w:rPr>
        <w:t>0.</w:t>
      </w:r>
      <w:r w:rsidR="00691B73">
        <w:rPr>
          <w:rFonts w:ascii="Arial" w:hAnsi="Arial" w:cs="Arial"/>
          <w:b w:val="0"/>
          <w:sz w:val="20"/>
          <w:szCs w:val="20"/>
        </w:rPr>
        <w:t>2</w:t>
      </w:r>
      <w:r w:rsidR="00AF47DF">
        <w:rPr>
          <w:rFonts w:ascii="Arial" w:hAnsi="Arial" w:cs="Arial"/>
          <w:b w:val="0"/>
          <w:sz w:val="20"/>
          <w:szCs w:val="20"/>
        </w:rPr>
        <w:t>%</w:t>
      </w:r>
      <w:r w:rsidR="008C4A0B">
        <w:rPr>
          <w:rFonts w:ascii="Arial" w:hAnsi="Arial" w:cs="Arial"/>
          <w:b w:val="0"/>
          <w:sz w:val="20"/>
          <w:szCs w:val="20"/>
        </w:rPr>
        <w:t>)</w:t>
      </w:r>
      <w:r w:rsidR="001E5979">
        <w:rPr>
          <w:rFonts w:ascii="Arial" w:hAnsi="Arial" w:cs="Arial"/>
          <w:b w:val="0"/>
          <w:sz w:val="20"/>
          <w:szCs w:val="20"/>
        </w:rPr>
        <w:t xml:space="preserve"> was </w:t>
      </w:r>
      <w:r w:rsidR="00573FDF">
        <w:rPr>
          <w:rFonts w:ascii="Arial" w:hAnsi="Arial" w:cs="Arial"/>
          <w:b w:val="0"/>
          <w:sz w:val="20"/>
          <w:szCs w:val="20"/>
        </w:rPr>
        <w:t>influenced by a price drop</w:t>
      </w:r>
      <w:r w:rsidR="001E5979">
        <w:rPr>
          <w:rFonts w:ascii="Arial" w:hAnsi="Arial" w:cs="Arial"/>
          <w:b w:val="0"/>
          <w:sz w:val="20"/>
          <w:szCs w:val="20"/>
        </w:rPr>
        <w:t xml:space="preserve"> </w:t>
      </w:r>
      <w:r w:rsidR="00573FDF">
        <w:rPr>
          <w:rFonts w:ascii="Arial" w:hAnsi="Arial" w:cs="Arial"/>
          <w:b w:val="0"/>
          <w:sz w:val="20"/>
          <w:szCs w:val="20"/>
        </w:rPr>
        <w:t xml:space="preserve">in </w:t>
      </w:r>
      <w:r w:rsidR="00573FDF" w:rsidRPr="00FE7A8E">
        <w:rPr>
          <w:rFonts w:ascii="Arial" w:hAnsi="Arial" w:cs="Arial"/>
          <w:b w:val="0"/>
          <w:sz w:val="20"/>
        </w:rPr>
        <w:t>'r</w:t>
      </w:r>
      <w:r w:rsidR="00573FDF">
        <w:rPr>
          <w:rFonts w:ascii="Arial" w:hAnsi="Arial" w:cs="Arial"/>
          <w:b w:val="0"/>
          <w:sz w:val="20"/>
        </w:rPr>
        <w:t xml:space="preserve">ecreation </w:t>
      </w:r>
      <w:r w:rsidR="00573FDF" w:rsidRPr="00FE7A8E">
        <w:rPr>
          <w:rFonts w:ascii="Arial" w:hAnsi="Arial" w:cs="Arial"/>
          <w:b w:val="0"/>
          <w:sz w:val="20"/>
        </w:rPr>
        <w:t>an</w:t>
      </w:r>
      <w:r w:rsidR="00573FDF">
        <w:rPr>
          <w:rFonts w:ascii="Arial" w:hAnsi="Arial" w:cs="Arial"/>
          <w:b w:val="0"/>
          <w:sz w:val="20"/>
        </w:rPr>
        <w:t>d culture</w:t>
      </w:r>
      <w:r w:rsidR="00573FDF" w:rsidRPr="00FE7A8E">
        <w:rPr>
          <w:rFonts w:ascii="Arial" w:hAnsi="Arial" w:cs="Arial"/>
          <w:b w:val="0"/>
          <w:sz w:val="20"/>
        </w:rPr>
        <w:t>'</w:t>
      </w:r>
      <w:r w:rsidR="00573FDF">
        <w:rPr>
          <w:rFonts w:ascii="Arial" w:hAnsi="Arial" w:cs="Arial"/>
          <w:b w:val="0"/>
          <w:sz w:val="20"/>
        </w:rPr>
        <w:t xml:space="preserve"> </w:t>
      </w:r>
      <w:r w:rsidR="00CA2564">
        <w:rPr>
          <w:rFonts w:ascii="Arial" w:hAnsi="Arial" w:cs="Arial"/>
          <w:b w:val="0"/>
          <w:sz w:val="20"/>
        </w:rPr>
        <w:t xml:space="preserve">as a result of </w:t>
      </w:r>
      <w:r w:rsidR="00573FDF">
        <w:rPr>
          <w:rFonts w:ascii="Arial" w:hAnsi="Arial" w:cs="Arial"/>
          <w:b w:val="0"/>
          <w:sz w:val="20"/>
        </w:rPr>
        <w:t>lower prices of package holidays</w:t>
      </w:r>
      <w:r w:rsidR="009B046E">
        <w:rPr>
          <w:rFonts w:ascii="Arial" w:hAnsi="Arial" w:cs="Arial"/>
          <w:b w:val="0"/>
          <w:sz w:val="20"/>
          <w:szCs w:val="20"/>
        </w:rPr>
        <w:t xml:space="preserve"> </w:t>
      </w:r>
      <w:r w:rsidR="001A3661">
        <w:rPr>
          <w:rFonts w:ascii="Arial" w:hAnsi="Arial" w:cs="Arial"/>
          <w:b w:val="0"/>
          <w:sz w:val="20"/>
          <w:szCs w:val="20"/>
        </w:rPr>
        <w:t>(-</w:t>
      </w:r>
      <w:r w:rsidR="00573FDF">
        <w:rPr>
          <w:rFonts w:ascii="Arial" w:hAnsi="Arial" w:cs="Arial"/>
          <w:b w:val="0"/>
          <w:sz w:val="20"/>
          <w:szCs w:val="20"/>
        </w:rPr>
        <w:t>10.9%</w:t>
      </w:r>
      <w:r w:rsidR="001A3661">
        <w:rPr>
          <w:rFonts w:ascii="Arial" w:hAnsi="Arial" w:cs="Arial"/>
          <w:b w:val="0"/>
          <w:sz w:val="20"/>
          <w:szCs w:val="20"/>
        </w:rPr>
        <w:t xml:space="preserve">) due to the end of main recreational season. </w:t>
      </w:r>
      <w:r w:rsidR="006B2056">
        <w:rPr>
          <w:rFonts w:ascii="Arial" w:hAnsi="Arial" w:cs="Arial"/>
          <w:b w:val="0"/>
          <w:bCs w:val="0"/>
          <w:sz w:val="20"/>
        </w:rPr>
        <w:t xml:space="preserve">The price </w:t>
      </w:r>
      <w:r w:rsidR="006D0388">
        <w:rPr>
          <w:rFonts w:ascii="Arial" w:hAnsi="Arial" w:cs="Arial"/>
          <w:b w:val="0"/>
          <w:bCs w:val="0"/>
          <w:sz w:val="20"/>
        </w:rPr>
        <w:t>fall</w:t>
      </w:r>
      <w:r w:rsidR="006B2056">
        <w:rPr>
          <w:rFonts w:ascii="Arial" w:hAnsi="Arial" w:cs="Arial"/>
          <w:b w:val="0"/>
          <w:bCs w:val="0"/>
          <w:sz w:val="20"/>
        </w:rPr>
        <w:t xml:space="preserve"> in </w:t>
      </w:r>
      <w:r w:rsidR="001A3661" w:rsidRPr="00FE7A8E">
        <w:rPr>
          <w:rFonts w:ascii="Arial" w:hAnsi="Arial" w:cs="Arial"/>
          <w:b w:val="0"/>
          <w:sz w:val="20"/>
        </w:rPr>
        <w:t>'transport'</w:t>
      </w:r>
      <w:r w:rsidR="001A3661">
        <w:rPr>
          <w:rFonts w:ascii="Arial" w:hAnsi="Arial" w:cs="Arial"/>
          <w:b w:val="0"/>
          <w:sz w:val="20"/>
        </w:rPr>
        <w:t xml:space="preserve"> came from </w:t>
      </w:r>
      <w:r w:rsidR="00284AE9">
        <w:rPr>
          <w:rFonts w:ascii="Arial" w:hAnsi="Arial" w:cs="Arial"/>
          <w:b w:val="0"/>
          <w:sz w:val="20"/>
        </w:rPr>
        <w:t xml:space="preserve">lower fuel prices (-3.6%) due to their significant decrease primarily in the last two months in 2014. </w:t>
      </w:r>
      <w:r w:rsidR="00284AE9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In </w:t>
      </w:r>
      <w:r w:rsidR="00284AE9" w:rsidRPr="00132746">
        <w:rPr>
          <w:rFonts w:ascii="Arial" w:hAnsi="Arial" w:cs="Arial"/>
          <w:b w:val="0"/>
          <w:bCs w:val="0"/>
          <w:sz w:val="20"/>
        </w:rPr>
        <w:t>'communication'</w:t>
      </w:r>
      <w:r w:rsidR="00284AE9" w:rsidRPr="00CC7A49">
        <w:rPr>
          <w:rFonts w:ascii="Arial" w:hAnsi="Arial" w:cs="Arial"/>
          <w:b w:val="0"/>
          <w:bCs w:val="0"/>
          <w:sz w:val="20"/>
        </w:rPr>
        <w:t xml:space="preserve">, the drop </w:t>
      </w:r>
      <w:r w:rsidR="00284AE9">
        <w:rPr>
          <w:rFonts w:ascii="Arial" w:hAnsi="Arial" w:cs="Arial"/>
          <w:b w:val="0"/>
          <w:bCs w:val="0"/>
          <w:sz w:val="20"/>
        </w:rPr>
        <w:t>continued in prices of mobile phones</w:t>
      </w:r>
      <w:r w:rsidR="000A16F6">
        <w:rPr>
          <w:rFonts w:ascii="Arial" w:hAnsi="Arial" w:cs="Arial"/>
          <w:b w:val="0"/>
          <w:bCs w:val="0"/>
          <w:sz w:val="20"/>
        </w:rPr>
        <w:t>, prices of postal services increased since December.</w:t>
      </w:r>
    </w:p>
    <w:p w:rsidR="00D47BE8" w:rsidRDefault="000A16F6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A moderate price drop in </w:t>
      </w:r>
      <w:r w:rsidRPr="00A06B8E">
        <w:rPr>
          <w:rFonts w:ascii="Arial" w:hAnsi="Arial" w:cs="Arial"/>
          <w:b w:val="0"/>
          <w:bCs w:val="0"/>
          <w:sz w:val="20"/>
        </w:rPr>
        <w:t>'</w:t>
      </w:r>
      <w:r>
        <w:rPr>
          <w:rFonts w:ascii="Arial" w:hAnsi="Arial" w:cs="Arial"/>
          <w:b w:val="0"/>
          <w:bCs w:val="0"/>
          <w:sz w:val="20"/>
        </w:rPr>
        <w:t>food and non-alcoholic beverages</w:t>
      </w:r>
      <w:r w:rsidRPr="00A06B8E">
        <w:rPr>
          <w:rFonts w:ascii="Arial" w:hAnsi="Arial" w:cs="Arial"/>
          <w:b w:val="0"/>
          <w:bCs w:val="0"/>
          <w:sz w:val="20"/>
        </w:rPr>
        <w:t>'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="00EE1552">
        <w:rPr>
          <w:rFonts w:ascii="Arial" w:hAnsi="Arial" w:cs="Arial"/>
          <w:b w:val="0"/>
          <w:bCs w:val="0"/>
          <w:sz w:val="20"/>
        </w:rPr>
        <w:t>came e</w:t>
      </w:r>
      <w:r w:rsidR="00D45F69">
        <w:rPr>
          <w:rFonts w:ascii="Arial" w:hAnsi="Arial" w:cs="Arial"/>
          <w:b w:val="0"/>
          <w:bCs w:val="0"/>
          <w:sz w:val="20"/>
        </w:rPr>
        <w:t xml:space="preserve">specially </w:t>
      </w:r>
      <w:r w:rsidR="00EE1552">
        <w:rPr>
          <w:rFonts w:ascii="Arial" w:hAnsi="Arial" w:cs="Arial"/>
          <w:b w:val="0"/>
          <w:bCs w:val="0"/>
          <w:sz w:val="20"/>
        </w:rPr>
        <w:t xml:space="preserve">from lower prices of some kinds of fruit and vegetables. Prices went </w:t>
      </w:r>
      <w:r w:rsidR="00066360">
        <w:rPr>
          <w:rFonts w:ascii="Arial" w:hAnsi="Arial" w:cs="Arial"/>
          <w:b w:val="0"/>
          <w:bCs w:val="0"/>
          <w:sz w:val="20"/>
        </w:rPr>
        <w:t xml:space="preserve">up </w:t>
      </w:r>
      <w:r w:rsidR="00EE1552">
        <w:rPr>
          <w:rFonts w:ascii="Arial" w:hAnsi="Arial" w:cs="Arial"/>
          <w:b w:val="0"/>
          <w:bCs w:val="0"/>
          <w:sz w:val="20"/>
        </w:rPr>
        <w:t>mainly i</w:t>
      </w:r>
      <w:r w:rsidR="00E95E00" w:rsidRPr="00A06B8E">
        <w:rPr>
          <w:rFonts w:ascii="Arial" w:hAnsi="Arial" w:cs="Arial"/>
          <w:b w:val="0"/>
          <w:sz w:val="20"/>
          <w:szCs w:val="20"/>
        </w:rPr>
        <w:t xml:space="preserve">n </w:t>
      </w:r>
      <w:r w:rsidR="00E95E00" w:rsidRPr="00A06B8E">
        <w:rPr>
          <w:rFonts w:ascii="Arial" w:hAnsi="Arial" w:cs="Arial"/>
          <w:b w:val="0"/>
          <w:bCs w:val="0"/>
          <w:sz w:val="20"/>
        </w:rPr>
        <w:t>'</w:t>
      </w:r>
      <w:r w:rsidR="00E95E00">
        <w:rPr>
          <w:rFonts w:ascii="Arial" w:hAnsi="Arial" w:cs="Arial"/>
          <w:b w:val="0"/>
          <w:bCs w:val="0"/>
          <w:sz w:val="20"/>
        </w:rPr>
        <w:t>c</w:t>
      </w:r>
      <w:r w:rsidR="00471B46">
        <w:rPr>
          <w:rFonts w:ascii="Arial" w:hAnsi="Arial" w:cs="Arial"/>
          <w:b w:val="0"/>
          <w:bCs w:val="0"/>
          <w:sz w:val="20"/>
        </w:rPr>
        <w:t>lothing</w:t>
      </w:r>
      <w:r w:rsidR="00E95E00">
        <w:rPr>
          <w:rFonts w:ascii="Arial" w:hAnsi="Arial" w:cs="Arial"/>
          <w:b w:val="0"/>
          <w:bCs w:val="0"/>
          <w:sz w:val="20"/>
        </w:rPr>
        <w:t xml:space="preserve"> and </w:t>
      </w:r>
      <w:r w:rsidR="00471B46">
        <w:rPr>
          <w:rFonts w:ascii="Arial" w:hAnsi="Arial" w:cs="Arial"/>
          <w:b w:val="0"/>
          <w:bCs w:val="0"/>
          <w:sz w:val="20"/>
        </w:rPr>
        <w:t>footwear</w:t>
      </w:r>
      <w:r w:rsidR="00E95E00" w:rsidRPr="00A06B8E">
        <w:rPr>
          <w:rFonts w:ascii="Arial" w:hAnsi="Arial" w:cs="Arial"/>
          <w:b w:val="0"/>
          <w:bCs w:val="0"/>
          <w:sz w:val="20"/>
        </w:rPr>
        <w:t>'</w:t>
      </w:r>
      <w:r w:rsidR="00EE1552">
        <w:rPr>
          <w:rFonts w:ascii="Arial" w:hAnsi="Arial" w:cs="Arial"/>
          <w:b w:val="0"/>
          <w:bCs w:val="0"/>
          <w:sz w:val="20"/>
        </w:rPr>
        <w:t xml:space="preserve"> due to</w:t>
      </w:r>
      <w:r w:rsidR="001F24BE">
        <w:rPr>
          <w:rFonts w:ascii="Arial" w:hAnsi="Arial" w:cs="Arial"/>
          <w:b w:val="0"/>
          <w:bCs w:val="0"/>
          <w:sz w:val="20"/>
        </w:rPr>
        <w:t xml:space="preserve"> </w:t>
      </w:r>
      <w:r w:rsidR="00EE1552">
        <w:rPr>
          <w:rFonts w:ascii="Arial" w:hAnsi="Arial" w:cs="Arial"/>
          <w:b w:val="0"/>
          <w:bCs w:val="0"/>
          <w:sz w:val="20"/>
        </w:rPr>
        <w:t>higher prices of new seasonal models</w:t>
      </w:r>
      <w:r w:rsidR="00690CE0">
        <w:rPr>
          <w:rFonts w:ascii="Arial" w:hAnsi="Arial" w:cs="Arial"/>
          <w:b w:val="0"/>
          <w:bCs w:val="0"/>
          <w:sz w:val="20"/>
        </w:rPr>
        <w:t xml:space="preserve">, which were offered </w:t>
      </w:r>
      <w:r w:rsidR="00624CC7">
        <w:rPr>
          <w:rFonts w:ascii="Arial" w:hAnsi="Arial" w:cs="Arial"/>
          <w:b w:val="0"/>
          <w:bCs w:val="0"/>
          <w:sz w:val="20"/>
        </w:rPr>
        <w:t xml:space="preserve">on the market </w:t>
      </w:r>
      <w:r w:rsidR="00690CE0">
        <w:rPr>
          <w:rFonts w:ascii="Arial" w:hAnsi="Arial" w:cs="Arial"/>
          <w:b w:val="0"/>
          <w:bCs w:val="0"/>
          <w:sz w:val="20"/>
        </w:rPr>
        <w:t>primarily in October.</w:t>
      </w:r>
      <w:r w:rsidR="00D47BE8">
        <w:rPr>
          <w:rFonts w:ascii="Arial" w:hAnsi="Arial" w:cs="Arial"/>
          <w:b w:val="0"/>
          <w:bCs w:val="0"/>
          <w:sz w:val="20"/>
        </w:rPr>
        <w:t xml:space="preserve"> </w:t>
      </w:r>
    </w:p>
    <w:p w:rsidR="00EE1552" w:rsidRDefault="00EE1552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90"/>
        <w:gridCol w:w="1134"/>
        <w:gridCol w:w="1134"/>
        <w:gridCol w:w="1134"/>
        <w:gridCol w:w="992"/>
        <w:gridCol w:w="1045"/>
      </w:tblGrid>
      <w:tr w:rsidR="00B02CF5" w:rsidRPr="00E43DDC" w:rsidTr="002770EC">
        <w:trPr>
          <w:trHeight w:val="355"/>
          <w:jc w:val="center"/>
        </w:trPr>
        <w:tc>
          <w:tcPr>
            <w:tcW w:w="2890" w:type="dxa"/>
            <w:vAlign w:val="center"/>
          </w:tcPr>
          <w:p w:rsidR="00B02CF5" w:rsidRPr="005D53B9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highlight w:val="green"/>
                <w:lang w:val="cs-CZ" w:eastAsia="cs-CZ"/>
              </w:rPr>
            </w:pPr>
          </w:p>
        </w:tc>
        <w:tc>
          <w:tcPr>
            <w:tcW w:w="1134" w:type="dxa"/>
            <w:vAlign w:val="center"/>
          </w:tcPr>
          <w:p w:rsidR="00B02CF5" w:rsidRPr="00E43DDC" w:rsidRDefault="00B02CF5" w:rsidP="00B02CF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305" w:type="dxa"/>
            <w:gridSpan w:val="4"/>
            <w:vAlign w:val="center"/>
          </w:tcPr>
          <w:p w:rsidR="00B02CF5" w:rsidRPr="00E43DDC" w:rsidRDefault="00B02CF5" w:rsidP="00B02CF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4</w:t>
            </w:r>
          </w:p>
        </w:tc>
      </w:tr>
      <w:tr w:rsidR="00B02CF5" w:rsidRPr="00E43DDC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DIVISION</w:t>
            </w:r>
          </w:p>
        </w:tc>
        <w:tc>
          <w:tcPr>
            <w:tcW w:w="1134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Q4  </w:t>
            </w:r>
          </w:p>
        </w:tc>
        <w:tc>
          <w:tcPr>
            <w:tcW w:w="1134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Q1  </w:t>
            </w:r>
          </w:p>
        </w:tc>
        <w:tc>
          <w:tcPr>
            <w:tcW w:w="1134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Q2 </w:t>
            </w:r>
          </w:p>
        </w:tc>
        <w:tc>
          <w:tcPr>
            <w:tcW w:w="992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Q3</w:t>
            </w:r>
          </w:p>
        </w:tc>
        <w:tc>
          <w:tcPr>
            <w:tcW w:w="1045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Q4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TOTAL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Food and non-alcoholic beverages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Alcoholic beverages and tobacco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240678" w:rsidTr="002770EC">
        <w:trPr>
          <w:trHeight w:val="318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Clothing and footwear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Housing, water, electricity, gas and other fuels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240678" w:rsidTr="002770EC">
        <w:trPr>
          <w:trHeight w:val="582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Furnishings, household equipment and routine household maintenance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Health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Transport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Recreation and culture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Education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Restaurants and hotels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240678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240678" w:rsidRPr="00E43DDC" w:rsidRDefault="00240678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Miscellaneous goods and services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134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45" w:type="dxa"/>
            <w:vAlign w:val="center"/>
          </w:tcPr>
          <w:p w:rsidR="00240678" w:rsidRPr="007F0AFB" w:rsidRDefault="00240678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</w:tbl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FC2301" w:rsidRDefault="00FC2301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FC2301" w:rsidRDefault="00FC2301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196383" w:rsidRDefault="00EE0608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0C7B46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0C7B46">
        <w:rPr>
          <w:rFonts w:ascii="Arial" w:hAnsi="Arial" w:cs="Arial"/>
          <w:bCs w:val="0"/>
          <w:sz w:val="20"/>
          <w:szCs w:val="20"/>
        </w:rPr>
        <w:t xml:space="preserve"> 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EB7206" w:rsidRPr="000C7B46">
        <w:rPr>
          <w:rFonts w:ascii="Arial" w:hAnsi="Arial" w:cs="Arial"/>
          <w:b w:val="0"/>
          <w:bCs w:val="0"/>
          <w:sz w:val="20"/>
          <w:szCs w:val="20"/>
        </w:rPr>
        <w:t>0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>.</w:t>
      </w:r>
      <w:r w:rsidR="004230DA">
        <w:rPr>
          <w:rFonts w:ascii="Arial" w:hAnsi="Arial" w:cs="Arial"/>
          <w:b w:val="0"/>
          <w:bCs w:val="0"/>
          <w:sz w:val="20"/>
          <w:szCs w:val="20"/>
        </w:rPr>
        <w:t>5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0C7B46">
        <w:rPr>
          <w:rFonts w:ascii="Arial" w:hAnsi="Arial" w:cs="Arial"/>
          <w:bCs w:val="0"/>
          <w:sz w:val="20"/>
          <w:szCs w:val="20"/>
        </w:rPr>
        <w:t>year-on-year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 (y-o-y), in Q</w:t>
      </w:r>
      <w:r w:rsidR="004230DA">
        <w:rPr>
          <w:rFonts w:ascii="Arial" w:hAnsi="Arial" w:cs="Arial"/>
          <w:b w:val="0"/>
          <w:bCs w:val="0"/>
          <w:sz w:val="20"/>
          <w:szCs w:val="20"/>
        </w:rPr>
        <w:t>4</w:t>
      </w:r>
      <w:r w:rsidRPr="000C7B46">
        <w:rPr>
          <w:rFonts w:ascii="Arial" w:hAnsi="Arial" w:cs="Arial"/>
          <w:b w:val="0"/>
          <w:sz w:val="20"/>
          <w:szCs w:val="20"/>
        </w:rPr>
        <w:t xml:space="preserve"> 201</w:t>
      </w:r>
      <w:r w:rsidR="00D55884" w:rsidRPr="000C7B46">
        <w:rPr>
          <w:rFonts w:ascii="Arial" w:hAnsi="Arial" w:cs="Arial"/>
          <w:b w:val="0"/>
          <w:sz w:val="20"/>
          <w:szCs w:val="20"/>
        </w:rPr>
        <w:t>4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0C7B46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>0.</w:t>
      </w:r>
      <w:r w:rsidR="004230DA">
        <w:rPr>
          <w:rFonts w:ascii="Arial" w:hAnsi="Arial" w:cs="Arial"/>
          <w:b w:val="0"/>
          <w:bCs w:val="0"/>
          <w:sz w:val="20"/>
          <w:szCs w:val="20"/>
        </w:rPr>
        <w:t>1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 xml:space="preserve"> percentage </w:t>
      </w:r>
      <w:proofErr w:type="gramStart"/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>point</w:t>
      </w:r>
      <w:proofErr w:type="gramEnd"/>
      <w:r w:rsidR="003325A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230DA">
        <w:rPr>
          <w:rFonts w:ascii="Arial" w:hAnsi="Arial" w:cs="Arial"/>
          <w:b w:val="0"/>
          <w:bCs w:val="0"/>
          <w:sz w:val="20"/>
          <w:szCs w:val="20"/>
        </w:rPr>
        <w:t>down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>Q</w:t>
      </w:r>
      <w:r w:rsidR="004230DA">
        <w:rPr>
          <w:rFonts w:ascii="Arial" w:hAnsi="Arial" w:cs="Arial"/>
          <w:b w:val="0"/>
          <w:bCs w:val="0"/>
          <w:sz w:val="20"/>
          <w:szCs w:val="20"/>
        </w:rPr>
        <w:t>3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 201</w:t>
      </w:r>
      <w:r w:rsidR="003A6B7B" w:rsidRPr="000C7B46">
        <w:rPr>
          <w:rFonts w:ascii="Arial" w:hAnsi="Arial" w:cs="Arial"/>
          <w:b w:val="0"/>
          <w:bCs w:val="0"/>
          <w:sz w:val="20"/>
          <w:szCs w:val="20"/>
        </w:rPr>
        <w:t>4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>Th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>is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230DA">
        <w:rPr>
          <w:rFonts w:ascii="Arial" w:hAnsi="Arial" w:cs="Arial"/>
          <w:b w:val="0"/>
          <w:bCs w:val="0"/>
          <w:sz w:val="20"/>
          <w:szCs w:val="20"/>
        </w:rPr>
        <w:t>de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>celerati</w:t>
      </w:r>
      <w:r w:rsidR="00174F0C" w:rsidRPr="000C7B46">
        <w:rPr>
          <w:rFonts w:ascii="Arial" w:hAnsi="Arial" w:cs="Arial"/>
          <w:b w:val="0"/>
          <w:bCs w:val="0"/>
          <w:sz w:val="20"/>
          <w:szCs w:val="20"/>
        </w:rPr>
        <w:t>o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>n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D5198" w:rsidRPr="000C7B46">
        <w:rPr>
          <w:rFonts w:ascii="Arial" w:hAnsi="Arial" w:cs="Arial"/>
          <w:b w:val="0"/>
          <w:bCs w:val="0"/>
          <w:sz w:val="20"/>
          <w:szCs w:val="20"/>
        </w:rPr>
        <w:t xml:space="preserve">in the 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>y-o-y growth</w:t>
      </w:r>
      <w:r w:rsidR="006812BC" w:rsidRPr="000C7B46">
        <w:rPr>
          <w:rFonts w:ascii="Arial" w:hAnsi="Arial" w:cs="Arial"/>
          <w:b w:val="0"/>
          <w:bCs w:val="0"/>
          <w:sz w:val="20"/>
          <w:szCs w:val="20"/>
        </w:rPr>
        <w:t xml:space="preserve"> of prices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>was due to the</w:t>
      </w:r>
      <w:r w:rsidR="004230D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418D8">
        <w:rPr>
          <w:rFonts w:ascii="Arial" w:hAnsi="Arial" w:cs="Arial"/>
          <w:b w:val="0"/>
          <w:bCs w:val="0"/>
          <w:sz w:val="20"/>
          <w:szCs w:val="20"/>
        </w:rPr>
        <w:t xml:space="preserve">weaker price </w:t>
      </w:r>
      <w:r w:rsidR="00FE7CDF">
        <w:rPr>
          <w:rFonts w:ascii="Arial" w:hAnsi="Arial" w:cs="Arial"/>
          <w:b w:val="0"/>
          <w:bCs w:val="0"/>
          <w:sz w:val="20"/>
          <w:szCs w:val="20"/>
        </w:rPr>
        <w:t>rise</w:t>
      </w:r>
      <w:r w:rsidR="00F418D8">
        <w:rPr>
          <w:rFonts w:ascii="Arial" w:hAnsi="Arial" w:cs="Arial"/>
          <w:b w:val="0"/>
          <w:bCs w:val="0"/>
          <w:sz w:val="20"/>
          <w:szCs w:val="20"/>
        </w:rPr>
        <w:t xml:space="preserve"> primarily in </w:t>
      </w:r>
      <w:r w:rsidR="00F418D8" w:rsidRPr="000C7B46">
        <w:rPr>
          <w:rFonts w:ascii="Arial" w:hAnsi="Arial" w:cs="Arial"/>
          <w:b w:val="0"/>
          <w:bCs w:val="0"/>
          <w:sz w:val="20"/>
        </w:rPr>
        <w:t>'</w:t>
      </w:r>
      <w:r w:rsidR="00F418D8">
        <w:rPr>
          <w:rFonts w:ascii="Arial" w:hAnsi="Arial" w:cs="Arial"/>
          <w:b w:val="0"/>
          <w:bCs w:val="0"/>
          <w:sz w:val="20"/>
        </w:rPr>
        <w:t>alcoholic beverages and tobacco</w:t>
      </w:r>
      <w:r w:rsidR="00F418D8" w:rsidRPr="000C7B46">
        <w:rPr>
          <w:rFonts w:ascii="Arial" w:hAnsi="Arial" w:cs="Arial"/>
          <w:b w:val="0"/>
          <w:bCs w:val="0"/>
          <w:sz w:val="20"/>
        </w:rPr>
        <w:t>'</w:t>
      </w:r>
      <w:r w:rsidR="00F418D8">
        <w:rPr>
          <w:rFonts w:ascii="Arial" w:hAnsi="Arial" w:cs="Arial"/>
          <w:b w:val="0"/>
          <w:bCs w:val="0"/>
          <w:sz w:val="20"/>
        </w:rPr>
        <w:t xml:space="preserve">, </w:t>
      </w:r>
      <w:r w:rsidR="00F418D8" w:rsidRPr="000C7B46">
        <w:rPr>
          <w:rFonts w:ascii="Arial" w:hAnsi="Arial" w:cs="Arial"/>
          <w:b w:val="0"/>
          <w:bCs w:val="0"/>
          <w:sz w:val="20"/>
        </w:rPr>
        <w:t>'</w:t>
      </w:r>
      <w:r w:rsidR="00F418D8">
        <w:rPr>
          <w:rFonts w:ascii="Arial" w:hAnsi="Arial" w:cs="Arial"/>
          <w:b w:val="0"/>
          <w:bCs w:val="0"/>
          <w:sz w:val="20"/>
        </w:rPr>
        <w:t>food and non-alcoholic beverages</w:t>
      </w:r>
      <w:r w:rsidR="00F418D8" w:rsidRPr="000C7B46">
        <w:rPr>
          <w:rFonts w:ascii="Arial" w:hAnsi="Arial" w:cs="Arial"/>
          <w:b w:val="0"/>
          <w:bCs w:val="0"/>
          <w:sz w:val="20"/>
        </w:rPr>
        <w:t>'</w:t>
      </w:r>
      <w:r w:rsidR="00F418D8">
        <w:rPr>
          <w:rFonts w:ascii="Arial" w:hAnsi="Arial" w:cs="Arial"/>
          <w:b w:val="0"/>
          <w:bCs w:val="0"/>
          <w:sz w:val="20"/>
        </w:rPr>
        <w:t xml:space="preserve"> and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0145D">
        <w:rPr>
          <w:rFonts w:ascii="Arial" w:hAnsi="Arial" w:cs="Arial"/>
          <w:b w:val="0"/>
          <w:bCs w:val="0"/>
          <w:sz w:val="20"/>
          <w:szCs w:val="20"/>
        </w:rPr>
        <w:t xml:space="preserve">due to </w:t>
      </w:r>
      <w:r w:rsidR="005D04F6"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8B2104">
        <w:rPr>
          <w:rFonts w:ascii="Arial" w:hAnsi="Arial" w:cs="Arial"/>
          <w:b w:val="0"/>
          <w:bCs w:val="0"/>
          <w:sz w:val="20"/>
          <w:szCs w:val="20"/>
        </w:rPr>
        <w:t xml:space="preserve">stop </w:t>
      </w:r>
      <w:r w:rsidR="005D04F6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="008B2104">
        <w:rPr>
          <w:rFonts w:ascii="Arial" w:hAnsi="Arial" w:cs="Arial"/>
          <w:b w:val="0"/>
          <w:bCs w:val="0"/>
          <w:sz w:val="20"/>
          <w:szCs w:val="20"/>
        </w:rPr>
        <w:t>the price growth in</w:t>
      </w:r>
      <w:r w:rsidR="00AD1F4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D1F4B" w:rsidRPr="000C7B46">
        <w:rPr>
          <w:rFonts w:ascii="Arial" w:hAnsi="Arial" w:cs="Arial"/>
          <w:b w:val="0"/>
          <w:bCs w:val="0"/>
          <w:sz w:val="20"/>
        </w:rPr>
        <w:t>'</w:t>
      </w:r>
      <w:r w:rsidR="003325AD">
        <w:rPr>
          <w:rFonts w:ascii="Arial" w:hAnsi="Arial" w:cs="Arial"/>
          <w:b w:val="0"/>
          <w:bCs w:val="0"/>
          <w:sz w:val="20"/>
        </w:rPr>
        <w:t>transport</w:t>
      </w:r>
      <w:r w:rsidR="00AD1F4B" w:rsidRPr="000C7B46">
        <w:rPr>
          <w:rFonts w:ascii="Arial" w:hAnsi="Arial" w:cs="Arial"/>
          <w:b w:val="0"/>
          <w:bCs w:val="0"/>
          <w:sz w:val="20"/>
        </w:rPr>
        <w:t>'</w:t>
      </w:r>
      <w:r w:rsidR="003325AD">
        <w:rPr>
          <w:rFonts w:ascii="Arial" w:hAnsi="Arial" w:cs="Arial"/>
          <w:b w:val="0"/>
          <w:bCs w:val="0"/>
          <w:sz w:val="20"/>
        </w:rPr>
        <w:t xml:space="preserve"> and </w:t>
      </w:r>
      <w:r w:rsidR="003325AD" w:rsidRPr="000C7B46">
        <w:rPr>
          <w:rFonts w:ascii="Arial" w:hAnsi="Arial" w:cs="Arial"/>
          <w:b w:val="0"/>
          <w:bCs w:val="0"/>
          <w:sz w:val="20"/>
        </w:rPr>
        <w:t>'</w:t>
      </w:r>
      <w:r w:rsidR="003325AD">
        <w:rPr>
          <w:rFonts w:ascii="Arial" w:hAnsi="Arial" w:cs="Arial"/>
          <w:b w:val="0"/>
          <w:bCs w:val="0"/>
          <w:sz w:val="20"/>
        </w:rPr>
        <w:t>recreation and culture</w:t>
      </w:r>
      <w:r w:rsidR="003325AD" w:rsidRPr="000C7B46">
        <w:rPr>
          <w:rFonts w:ascii="Arial" w:hAnsi="Arial" w:cs="Arial"/>
          <w:b w:val="0"/>
          <w:bCs w:val="0"/>
          <w:sz w:val="20"/>
        </w:rPr>
        <w:t>'</w:t>
      </w:r>
      <w:r w:rsidR="003325AD">
        <w:rPr>
          <w:rFonts w:ascii="Arial" w:hAnsi="Arial" w:cs="Arial"/>
          <w:b w:val="0"/>
          <w:bCs w:val="0"/>
          <w:sz w:val="20"/>
        </w:rPr>
        <w:t xml:space="preserve">. </w:t>
      </w:r>
      <w:r w:rsidR="006C6FF2">
        <w:rPr>
          <w:rFonts w:ascii="Arial" w:hAnsi="Arial" w:cs="Arial"/>
          <w:b w:val="0"/>
          <w:bCs w:val="0"/>
          <w:sz w:val="20"/>
        </w:rPr>
        <w:t xml:space="preserve">The acceleration in the </w:t>
      </w:r>
      <w:r w:rsidR="008B210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B1349">
        <w:rPr>
          <w:rFonts w:ascii="Arial" w:hAnsi="Arial" w:cs="Arial"/>
          <w:b w:val="0"/>
          <w:bCs w:val="0"/>
          <w:sz w:val="20"/>
          <w:szCs w:val="20"/>
        </w:rPr>
        <w:t xml:space="preserve">y-o-y rise </w:t>
      </w:r>
      <w:r w:rsidR="00E15509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="00E15509" w:rsidRPr="000C7B46">
        <w:rPr>
          <w:rFonts w:ascii="Arial" w:hAnsi="Arial" w:cs="Arial"/>
          <w:b w:val="0"/>
          <w:bCs w:val="0"/>
          <w:sz w:val="20"/>
        </w:rPr>
        <w:t>'</w:t>
      </w:r>
      <w:r w:rsidR="00E15509">
        <w:rPr>
          <w:rFonts w:ascii="Arial" w:hAnsi="Arial" w:cs="Arial"/>
          <w:b w:val="0"/>
          <w:bCs w:val="0"/>
          <w:sz w:val="20"/>
        </w:rPr>
        <w:t>clothing and footwear</w:t>
      </w:r>
      <w:r w:rsidR="00E15509" w:rsidRPr="000C7B46">
        <w:rPr>
          <w:rFonts w:ascii="Arial" w:hAnsi="Arial" w:cs="Arial"/>
          <w:b w:val="0"/>
          <w:bCs w:val="0"/>
          <w:sz w:val="20"/>
        </w:rPr>
        <w:t>'</w:t>
      </w:r>
      <w:r w:rsidR="00E15509">
        <w:rPr>
          <w:rFonts w:ascii="Arial" w:hAnsi="Arial" w:cs="Arial"/>
          <w:b w:val="0"/>
          <w:bCs w:val="0"/>
          <w:sz w:val="20"/>
        </w:rPr>
        <w:t xml:space="preserve"> and </w:t>
      </w:r>
      <w:r w:rsidR="00E15509" w:rsidRPr="000C7B46">
        <w:rPr>
          <w:rFonts w:ascii="Arial" w:hAnsi="Arial" w:cs="Arial"/>
          <w:b w:val="0"/>
          <w:bCs w:val="0"/>
          <w:sz w:val="20"/>
        </w:rPr>
        <w:t>'</w:t>
      </w:r>
      <w:r w:rsidR="00E15509">
        <w:rPr>
          <w:rFonts w:ascii="Arial" w:hAnsi="Arial" w:cs="Arial"/>
          <w:b w:val="0"/>
          <w:bCs w:val="0"/>
          <w:sz w:val="20"/>
        </w:rPr>
        <w:t>miscellaneous goods and services</w:t>
      </w:r>
      <w:r w:rsidR="00E15509" w:rsidRPr="000C7B46">
        <w:rPr>
          <w:rFonts w:ascii="Arial" w:hAnsi="Arial" w:cs="Arial"/>
          <w:b w:val="0"/>
          <w:bCs w:val="0"/>
          <w:sz w:val="20"/>
        </w:rPr>
        <w:t>'</w:t>
      </w:r>
      <w:r w:rsidR="000B134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15509">
        <w:rPr>
          <w:rFonts w:ascii="Arial" w:hAnsi="Arial" w:cs="Arial"/>
          <w:b w:val="0"/>
          <w:bCs w:val="0"/>
          <w:sz w:val="20"/>
          <w:szCs w:val="20"/>
        </w:rPr>
        <w:t xml:space="preserve">and </w:t>
      </w:r>
      <w:r w:rsidR="00A46161" w:rsidRPr="00A46161">
        <w:rPr>
          <w:rFonts w:ascii="Arial" w:hAnsi="Arial" w:cs="Arial"/>
          <w:b w:val="0"/>
          <w:bCs w:val="0"/>
          <w:sz w:val="20"/>
          <w:szCs w:val="20"/>
        </w:rPr>
        <w:t>mitigating the decline in prices</w:t>
      </w:r>
      <w:r w:rsidR="00A46161">
        <w:rPr>
          <w:rFonts w:ascii="Arial" w:hAnsi="Arial" w:cs="Arial"/>
          <w:b w:val="0"/>
          <w:bCs w:val="0"/>
          <w:sz w:val="20"/>
          <w:szCs w:val="20"/>
        </w:rPr>
        <w:t xml:space="preserve"> in some divisions of </w:t>
      </w:r>
      <w:r w:rsidR="00DA294B"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A46161">
        <w:rPr>
          <w:rFonts w:ascii="Arial" w:hAnsi="Arial" w:cs="Arial"/>
          <w:b w:val="0"/>
          <w:bCs w:val="0"/>
          <w:sz w:val="20"/>
          <w:szCs w:val="20"/>
        </w:rPr>
        <w:t>consumer basket (</w:t>
      </w:r>
      <w:r w:rsidR="00A46161" w:rsidRPr="000C7B46">
        <w:rPr>
          <w:rFonts w:ascii="Arial" w:hAnsi="Arial" w:cs="Arial"/>
          <w:b w:val="0"/>
          <w:bCs w:val="0"/>
          <w:sz w:val="20"/>
        </w:rPr>
        <w:t>'</w:t>
      </w:r>
      <w:r w:rsidR="0003040C">
        <w:rPr>
          <w:rFonts w:ascii="Arial" w:hAnsi="Arial" w:cs="Arial"/>
          <w:b w:val="0"/>
          <w:bCs w:val="0"/>
          <w:sz w:val="20"/>
        </w:rPr>
        <w:t>communication</w:t>
      </w:r>
      <w:r w:rsidR="00A46161" w:rsidRPr="000C7B46">
        <w:rPr>
          <w:rFonts w:ascii="Arial" w:hAnsi="Arial" w:cs="Arial"/>
          <w:b w:val="0"/>
          <w:bCs w:val="0"/>
          <w:sz w:val="20"/>
        </w:rPr>
        <w:t>'</w:t>
      </w:r>
      <w:r w:rsidR="00A46161">
        <w:rPr>
          <w:rFonts w:ascii="Arial" w:hAnsi="Arial" w:cs="Arial"/>
          <w:b w:val="0"/>
          <w:bCs w:val="0"/>
          <w:sz w:val="20"/>
        </w:rPr>
        <w:t xml:space="preserve">, </w:t>
      </w:r>
      <w:r w:rsidR="00A46161" w:rsidRPr="000C7B46">
        <w:rPr>
          <w:rFonts w:ascii="Arial" w:hAnsi="Arial" w:cs="Arial"/>
          <w:b w:val="0"/>
          <w:bCs w:val="0"/>
          <w:sz w:val="20"/>
        </w:rPr>
        <w:t>'</w:t>
      </w:r>
      <w:r w:rsidR="0003040C">
        <w:rPr>
          <w:rFonts w:ascii="Arial" w:hAnsi="Arial" w:cs="Arial"/>
          <w:b w:val="0"/>
          <w:bCs w:val="0"/>
          <w:sz w:val="20"/>
        </w:rPr>
        <w:t>furnishings, household equipment and routine household maintenance</w:t>
      </w:r>
      <w:r w:rsidR="00A46161" w:rsidRPr="000C7B46">
        <w:rPr>
          <w:rFonts w:ascii="Arial" w:hAnsi="Arial" w:cs="Arial"/>
          <w:b w:val="0"/>
          <w:bCs w:val="0"/>
          <w:sz w:val="20"/>
        </w:rPr>
        <w:t>'</w:t>
      </w:r>
      <w:r w:rsidR="00A46161">
        <w:rPr>
          <w:rFonts w:ascii="Arial" w:hAnsi="Arial" w:cs="Arial"/>
          <w:b w:val="0"/>
          <w:bCs w:val="0"/>
          <w:sz w:val="20"/>
        </w:rPr>
        <w:t xml:space="preserve">, </w:t>
      </w:r>
      <w:r w:rsidR="00A46161" w:rsidRPr="000C7B46">
        <w:rPr>
          <w:rFonts w:ascii="Arial" w:hAnsi="Arial" w:cs="Arial"/>
          <w:b w:val="0"/>
          <w:bCs w:val="0"/>
          <w:sz w:val="20"/>
        </w:rPr>
        <w:t>'</w:t>
      </w:r>
      <w:r w:rsidR="0003040C">
        <w:rPr>
          <w:rFonts w:ascii="Arial" w:hAnsi="Arial" w:cs="Arial"/>
          <w:b w:val="0"/>
          <w:bCs w:val="0"/>
          <w:sz w:val="20"/>
        </w:rPr>
        <w:t>health</w:t>
      </w:r>
      <w:r w:rsidR="00A46161" w:rsidRPr="000C7B46">
        <w:rPr>
          <w:rFonts w:ascii="Arial" w:hAnsi="Arial" w:cs="Arial"/>
          <w:b w:val="0"/>
          <w:bCs w:val="0"/>
          <w:sz w:val="20"/>
        </w:rPr>
        <w:t>'</w:t>
      </w:r>
      <w:r w:rsidR="0003040C">
        <w:rPr>
          <w:rFonts w:ascii="Arial" w:hAnsi="Arial" w:cs="Arial"/>
          <w:b w:val="0"/>
          <w:bCs w:val="0"/>
          <w:sz w:val="20"/>
        </w:rPr>
        <w:t>)</w:t>
      </w:r>
      <w:r w:rsidR="00E1550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3040C">
        <w:rPr>
          <w:rFonts w:ascii="Arial" w:hAnsi="Arial" w:cs="Arial"/>
          <w:b w:val="0"/>
          <w:bCs w:val="0"/>
          <w:sz w:val="20"/>
          <w:szCs w:val="20"/>
        </w:rPr>
        <w:t xml:space="preserve">influenced </w:t>
      </w:r>
      <w:r w:rsidR="00833E83">
        <w:rPr>
          <w:rFonts w:ascii="Arial" w:hAnsi="Arial" w:cs="Arial"/>
          <w:b w:val="0"/>
          <w:bCs w:val="0"/>
          <w:sz w:val="20"/>
          <w:szCs w:val="20"/>
        </w:rPr>
        <w:t>in</w:t>
      </w:r>
      <w:r w:rsidR="0047746F">
        <w:rPr>
          <w:rFonts w:ascii="Arial" w:hAnsi="Arial" w:cs="Arial"/>
          <w:b w:val="0"/>
          <w:bCs w:val="0"/>
          <w:sz w:val="20"/>
          <w:szCs w:val="20"/>
        </w:rPr>
        <w:t xml:space="preserve"> an</w:t>
      </w:r>
      <w:r w:rsidR="00833E83">
        <w:rPr>
          <w:rFonts w:ascii="Arial" w:hAnsi="Arial" w:cs="Arial"/>
          <w:b w:val="0"/>
          <w:bCs w:val="0"/>
          <w:sz w:val="20"/>
          <w:szCs w:val="20"/>
        </w:rPr>
        <w:t xml:space="preserve"> opposite direction</w:t>
      </w:r>
      <w:r w:rsidR="0003040C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:rsidR="000656BF" w:rsidRPr="000C7B46" w:rsidRDefault="000656BF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C72C1C" w:rsidRPr="000C7B46" w:rsidRDefault="00C72C1C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0C7B46">
        <w:rPr>
          <w:rFonts w:ascii="Arial" w:hAnsi="Arial" w:cs="Arial"/>
          <w:b w:val="0"/>
          <w:bCs w:val="0"/>
          <w:sz w:val="20"/>
        </w:rPr>
        <w:t xml:space="preserve">The growth of market prices </w:t>
      </w:r>
      <w:r w:rsidR="000656BF">
        <w:rPr>
          <w:rFonts w:ascii="Arial" w:hAnsi="Arial" w:cs="Arial"/>
          <w:b w:val="0"/>
          <w:bCs w:val="0"/>
          <w:sz w:val="20"/>
        </w:rPr>
        <w:t>de</w:t>
      </w:r>
      <w:r w:rsidR="00196383" w:rsidRPr="000C7B46">
        <w:rPr>
          <w:rFonts w:ascii="Arial" w:hAnsi="Arial" w:cs="Arial"/>
          <w:b w:val="0"/>
          <w:bCs w:val="0"/>
          <w:sz w:val="20"/>
        </w:rPr>
        <w:t>celerated slightly to 1.</w:t>
      </w:r>
      <w:r w:rsidR="000656BF">
        <w:rPr>
          <w:rFonts w:ascii="Arial" w:hAnsi="Arial" w:cs="Arial"/>
          <w:b w:val="0"/>
          <w:bCs w:val="0"/>
          <w:sz w:val="20"/>
        </w:rPr>
        <w:t>0</w:t>
      </w:r>
      <w:r w:rsidR="00196383" w:rsidRPr="000C7B46">
        <w:rPr>
          <w:rFonts w:ascii="Arial" w:hAnsi="Arial" w:cs="Arial"/>
          <w:b w:val="0"/>
          <w:bCs w:val="0"/>
          <w:sz w:val="20"/>
        </w:rPr>
        <w:t xml:space="preserve">% </w:t>
      </w:r>
      <w:r w:rsidRPr="000C7B46">
        <w:rPr>
          <w:rFonts w:ascii="Arial" w:hAnsi="Arial" w:cs="Arial"/>
          <w:b w:val="0"/>
          <w:bCs w:val="0"/>
          <w:sz w:val="20"/>
        </w:rPr>
        <w:t>in Q</w:t>
      </w:r>
      <w:r w:rsidR="000656BF">
        <w:rPr>
          <w:rFonts w:ascii="Arial" w:hAnsi="Arial" w:cs="Arial"/>
          <w:b w:val="0"/>
          <w:bCs w:val="0"/>
          <w:sz w:val="20"/>
        </w:rPr>
        <w:t>4</w:t>
      </w:r>
      <w:r w:rsidRPr="000C7B46">
        <w:rPr>
          <w:rFonts w:ascii="Arial" w:hAnsi="Arial" w:cs="Arial"/>
          <w:b w:val="0"/>
          <w:bCs w:val="0"/>
          <w:sz w:val="20"/>
        </w:rPr>
        <w:t xml:space="preserve"> 2014 from </w:t>
      </w:r>
      <w:r w:rsidR="000656BF">
        <w:rPr>
          <w:rFonts w:ascii="Arial" w:hAnsi="Arial" w:cs="Arial"/>
          <w:b w:val="0"/>
          <w:bCs w:val="0"/>
          <w:sz w:val="20"/>
        </w:rPr>
        <w:t>1</w:t>
      </w:r>
      <w:r w:rsidRPr="000C7B46">
        <w:rPr>
          <w:rFonts w:ascii="Arial" w:hAnsi="Arial" w:cs="Arial"/>
          <w:b w:val="0"/>
          <w:bCs w:val="0"/>
          <w:sz w:val="20"/>
        </w:rPr>
        <w:t>.</w:t>
      </w:r>
      <w:r w:rsidR="000656BF">
        <w:rPr>
          <w:rFonts w:ascii="Arial" w:hAnsi="Arial" w:cs="Arial"/>
          <w:b w:val="0"/>
          <w:bCs w:val="0"/>
          <w:sz w:val="20"/>
        </w:rPr>
        <w:t>1</w:t>
      </w:r>
      <w:r w:rsidRPr="000C7B46">
        <w:rPr>
          <w:rFonts w:ascii="Arial" w:hAnsi="Arial" w:cs="Arial"/>
          <w:b w:val="0"/>
          <w:bCs w:val="0"/>
          <w:sz w:val="20"/>
        </w:rPr>
        <w:t>% in Q</w:t>
      </w:r>
      <w:r w:rsidR="000656BF">
        <w:rPr>
          <w:rFonts w:ascii="Arial" w:hAnsi="Arial" w:cs="Arial"/>
          <w:b w:val="0"/>
          <w:bCs w:val="0"/>
          <w:sz w:val="20"/>
        </w:rPr>
        <w:t>3</w:t>
      </w:r>
      <w:r w:rsidRPr="000C7B46">
        <w:rPr>
          <w:rFonts w:ascii="Arial" w:hAnsi="Arial" w:cs="Arial"/>
          <w:b w:val="0"/>
          <w:bCs w:val="0"/>
          <w:sz w:val="20"/>
        </w:rPr>
        <w:t xml:space="preserve"> and the decrease in regulated prices</w:t>
      </w:r>
      <w:r w:rsidR="00E14F24" w:rsidRPr="000C7B46">
        <w:rPr>
          <w:rStyle w:val="Znakapoznpodarou"/>
          <w:rFonts w:ascii="Arial" w:hAnsi="Arial" w:cs="Arial"/>
          <w:b w:val="0"/>
          <w:bCs w:val="0"/>
          <w:sz w:val="20"/>
        </w:rPr>
        <w:footnoteReference w:id="1"/>
      </w:r>
      <w:r w:rsidR="00E14F24" w:rsidRPr="000C7B46">
        <w:rPr>
          <w:rFonts w:ascii="Arial" w:hAnsi="Arial" w:cs="Arial"/>
          <w:b w:val="0"/>
          <w:bCs w:val="0"/>
          <w:sz w:val="20"/>
          <w:vertAlign w:val="superscript"/>
        </w:rPr>
        <w:t>)</w:t>
      </w:r>
      <w:r w:rsidRPr="000C7B46">
        <w:rPr>
          <w:rFonts w:ascii="Arial" w:hAnsi="Arial" w:cs="Arial"/>
          <w:b w:val="0"/>
          <w:bCs w:val="0"/>
          <w:sz w:val="20"/>
        </w:rPr>
        <w:t xml:space="preserve"> </w:t>
      </w:r>
      <w:r w:rsidR="000656BF">
        <w:rPr>
          <w:rFonts w:ascii="Arial" w:hAnsi="Arial" w:cs="Arial"/>
          <w:b w:val="0"/>
          <w:bCs w:val="0"/>
          <w:sz w:val="20"/>
        </w:rPr>
        <w:t xml:space="preserve">remained </w:t>
      </w:r>
      <w:r w:rsidR="003D1CBB">
        <w:rPr>
          <w:rFonts w:ascii="Arial" w:hAnsi="Arial" w:cs="Arial"/>
          <w:b w:val="0"/>
          <w:bCs w:val="0"/>
          <w:sz w:val="20"/>
        </w:rPr>
        <w:t>the same</w:t>
      </w:r>
      <w:r w:rsidR="000656BF">
        <w:rPr>
          <w:rFonts w:ascii="Arial" w:hAnsi="Arial" w:cs="Arial"/>
          <w:b w:val="0"/>
          <w:bCs w:val="0"/>
          <w:sz w:val="20"/>
        </w:rPr>
        <w:t xml:space="preserve"> as in Q3, i.e. </w:t>
      </w:r>
      <w:r w:rsidR="00530B59" w:rsidRPr="000C7B46">
        <w:rPr>
          <w:rFonts w:ascii="Arial" w:hAnsi="Arial" w:cs="Arial"/>
          <w:b w:val="0"/>
          <w:bCs w:val="0"/>
          <w:sz w:val="20"/>
        </w:rPr>
        <w:t>-</w:t>
      </w:r>
      <w:r w:rsidR="00196383" w:rsidRPr="000C7B46">
        <w:rPr>
          <w:rFonts w:ascii="Arial" w:hAnsi="Arial" w:cs="Arial"/>
          <w:b w:val="0"/>
          <w:bCs w:val="0"/>
          <w:sz w:val="20"/>
        </w:rPr>
        <w:t>2</w:t>
      </w:r>
      <w:r w:rsidR="00530B59" w:rsidRPr="000C7B46">
        <w:rPr>
          <w:rFonts w:ascii="Arial" w:hAnsi="Arial" w:cs="Arial"/>
          <w:b w:val="0"/>
          <w:bCs w:val="0"/>
          <w:sz w:val="20"/>
        </w:rPr>
        <w:t>.</w:t>
      </w:r>
      <w:r w:rsidR="00196383" w:rsidRPr="000C7B46">
        <w:rPr>
          <w:rFonts w:ascii="Arial" w:hAnsi="Arial" w:cs="Arial"/>
          <w:b w:val="0"/>
          <w:bCs w:val="0"/>
          <w:sz w:val="20"/>
        </w:rPr>
        <w:t>1</w:t>
      </w:r>
      <w:r w:rsidR="00530B59" w:rsidRPr="000C7B46">
        <w:rPr>
          <w:rFonts w:ascii="Arial" w:hAnsi="Arial" w:cs="Arial"/>
          <w:b w:val="0"/>
          <w:bCs w:val="0"/>
          <w:sz w:val="20"/>
        </w:rPr>
        <w:t>%.</w:t>
      </w:r>
    </w:p>
    <w:p w:rsidR="007C3490" w:rsidRPr="000C7B46" w:rsidRDefault="007C3490" w:rsidP="00591218">
      <w:pPr>
        <w:pStyle w:val="Zkladntextodsazen2"/>
        <w:ind w:firstLine="0"/>
        <w:jc w:val="center"/>
        <w:rPr>
          <w:rFonts w:ascii="Arial" w:hAnsi="Arial" w:cs="Arial"/>
          <w:bCs w:val="0"/>
          <w:sz w:val="20"/>
        </w:rPr>
      </w:pPr>
    </w:p>
    <w:p w:rsidR="00196383" w:rsidRPr="00DB6760" w:rsidRDefault="00196383" w:rsidP="00591218">
      <w:pPr>
        <w:pStyle w:val="Zkladntextodsazen2"/>
        <w:ind w:firstLine="0"/>
        <w:jc w:val="center"/>
        <w:rPr>
          <w:rFonts w:ascii="Arial" w:hAnsi="Arial" w:cs="Arial"/>
          <w:bCs w:val="0"/>
          <w:sz w:val="20"/>
          <w:highlight w:val="green"/>
        </w:rPr>
      </w:pPr>
    </w:p>
    <w:p w:rsidR="00EE0608" w:rsidRPr="00DB6760" w:rsidRDefault="009C584F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31.75pt">
            <v:imagedata r:id="rId7" o:title=""/>
          </v:shape>
        </w:pict>
      </w:r>
    </w:p>
    <w:p w:rsidR="00B813C1" w:rsidRPr="00DB6760" w:rsidRDefault="00B813C1" w:rsidP="009850A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813C1" w:rsidRPr="00C74759" w:rsidRDefault="00981F2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C74759">
        <w:rPr>
          <w:rFonts w:ascii="Arial" w:hAnsi="Arial" w:cs="Arial"/>
          <w:b w:val="0"/>
          <w:sz w:val="20"/>
          <w:szCs w:val="20"/>
        </w:rPr>
        <w:t>D</w:t>
      </w:r>
      <w:r w:rsidR="00B813C1" w:rsidRPr="00C74759">
        <w:rPr>
          <w:rFonts w:ascii="Arial" w:hAnsi="Arial" w:cs="Arial"/>
          <w:b w:val="0"/>
          <w:sz w:val="20"/>
          <w:szCs w:val="20"/>
        </w:rPr>
        <w:t>ec</w:t>
      </w:r>
      <w:r w:rsidRPr="00C74759">
        <w:rPr>
          <w:rFonts w:ascii="Arial" w:hAnsi="Arial" w:cs="Arial"/>
          <w:b w:val="0"/>
          <w:sz w:val="20"/>
          <w:szCs w:val="20"/>
        </w:rPr>
        <w:t xml:space="preserve">rease </w:t>
      </w:r>
      <w:r w:rsidR="00B813C1" w:rsidRPr="00C74759">
        <w:rPr>
          <w:rFonts w:ascii="Arial" w:hAnsi="Arial" w:cs="Arial"/>
          <w:b w:val="0"/>
          <w:sz w:val="20"/>
          <w:szCs w:val="20"/>
        </w:rPr>
        <w:t xml:space="preserve">of regulated prices </w:t>
      </w:r>
      <w:r w:rsidRPr="00C74759">
        <w:rPr>
          <w:rFonts w:ascii="Arial" w:hAnsi="Arial" w:cs="Arial"/>
          <w:b w:val="0"/>
          <w:sz w:val="20"/>
          <w:szCs w:val="20"/>
        </w:rPr>
        <w:t>was caused</w:t>
      </w:r>
      <w:r w:rsidR="00B813C1" w:rsidRPr="00C74759">
        <w:rPr>
          <w:rFonts w:ascii="Arial" w:hAnsi="Arial" w:cs="Arial"/>
          <w:b w:val="0"/>
          <w:sz w:val="20"/>
          <w:szCs w:val="20"/>
        </w:rPr>
        <w:t xml:space="preserve"> primarily </w:t>
      </w:r>
      <w:r w:rsidRPr="00C74759">
        <w:rPr>
          <w:rFonts w:ascii="Arial" w:hAnsi="Arial" w:cs="Arial"/>
          <w:b w:val="0"/>
          <w:sz w:val="20"/>
          <w:szCs w:val="20"/>
        </w:rPr>
        <w:t>by</w:t>
      </w:r>
      <w:r w:rsidR="00B813C1" w:rsidRPr="00C74759">
        <w:rPr>
          <w:rFonts w:ascii="Arial" w:hAnsi="Arial" w:cs="Arial"/>
          <w:b w:val="0"/>
          <w:sz w:val="20"/>
          <w:szCs w:val="20"/>
        </w:rPr>
        <w:t xml:space="preserve"> the drop in prices in</w:t>
      </w:r>
      <w:r w:rsidR="00B813C1" w:rsidRPr="00C7475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813C1" w:rsidRPr="00C74759">
        <w:rPr>
          <w:rFonts w:ascii="Arial" w:hAnsi="Arial" w:cs="Arial"/>
          <w:bCs w:val="0"/>
          <w:sz w:val="20"/>
        </w:rPr>
        <w:t>'housing, water, electricity, gas and other fuels'</w:t>
      </w:r>
      <w:r w:rsidR="00B813C1" w:rsidRPr="00C74759">
        <w:rPr>
          <w:rFonts w:ascii="Arial" w:hAnsi="Arial" w:cs="Arial"/>
          <w:b w:val="0"/>
          <w:sz w:val="20"/>
          <w:szCs w:val="20"/>
        </w:rPr>
        <w:t xml:space="preserve"> and </w:t>
      </w:r>
      <w:r w:rsidR="00B813C1" w:rsidRPr="00C74759">
        <w:rPr>
          <w:rFonts w:ascii="Arial" w:hAnsi="Arial" w:cs="Arial"/>
          <w:bCs w:val="0"/>
          <w:sz w:val="20"/>
        </w:rPr>
        <w:t>'health'</w:t>
      </w:r>
      <w:r w:rsidR="00B813C1" w:rsidRPr="00C74759">
        <w:rPr>
          <w:rFonts w:ascii="Arial" w:hAnsi="Arial" w:cs="Arial"/>
          <w:b w:val="0"/>
          <w:bCs w:val="0"/>
          <w:sz w:val="20"/>
        </w:rPr>
        <w:t>, which</w:t>
      </w:r>
      <w:r w:rsidR="00B813C1" w:rsidRPr="00C74759">
        <w:rPr>
          <w:rFonts w:ascii="Arial" w:hAnsi="Arial" w:cs="Arial"/>
          <w:b w:val="0"/>
          <w:sz w:val="20"/>
          <w:szCs w:val="20"/>
        </w:rPr>
        <w:t xml:space="preserve"> occurred due to a decrease in </w:t>
      </w:r>
      <w:r w:rsidR="00ED1506" w:rsidRPr="00C74759">
        <w:rPr>
          <w:rStyle w:val="hps"/>
          <w:rFonts w:ascii="Arial" w:hAnsi="Arial" w:cs="Arial"/>
          <w:b w:val="0"/>
          <w:color w:val="222222"/>
          <w:sz w:val="20"/>
          <w:szCs w:val="20"/>
        </w:rPr>
        <w:t>energy prices</w:t>
      </w:r>
      <w:r w:rsidR="00ED1506" w:rsidRPr="00C74759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="00ED1506" w:rsidRPr="00C74759">
        <w:rPr>
          <w:rFonts w:ascii="Arial" w:hAnsi="Arial" w:cs="Arial"/>
          <w:b w:val="0"/>
          <w:sz w:val="20"/>
          <w:szCs w:val="20"/>
        </w:rPr>
        <w:t xml:space="preserve">and the abolition of the regulatory fee for a stay in hospital </w:t>
      </w:r>
      <w:r w:rsidR="00B813C1" w:rsidRPr="00C74759">
        <w:rPr>
          <w:rFonts w:ascii="Arial" w:hAnsi="Arial" w:cs="Arial"/>
          <w:b w:val="0"/>
          <w:sz w:val="20"/>
          <w:szCs w:val="20"/>
        </w:rPr>
        <w:t xml:space="preserve">since January 2014. </w:t>
      </w:r>
      <w:r w:rsidR="00C91326" w:rsidRPr="00C74759">
        <w:rPr>
          <w:rFonts w:ascii="Arial" w:hAnsi="Arial" w:cs="Arial"/>
          <w:b w:val="0"/>
          <w:sz w:val="20"/>
          <w:szCs w:val="20"/>
        </w:rPr>
        <w:t xml:space="preserve">The drop </w:t>
      </w:r>
      <w:r w:rsidR="000F1FAD" w:rsidRPr="00C74759">
        <w:rPr>
          <w:rFonts w:ascii="Arial" w:hAnsi="Arial" w:cs="Arial"/>
          <w:b w:val="0"/>
          <w:sz w:val="20"/>
          <w:szCs w:val="20"/>
        </w:rPr>
        <w:t xml:space="preserve">in </w:t>
      </w:r>
      <w:r w:rsidR="0089797A" w:rsidRPr="00C74759">
        <w:rPr>
          <w:rFonts w:ascii="Arial" w:hAnsi="Arial" w:cs="Arial"/>
          <w:b w:val="0"/>
          <w:sz w:val="20"/>
          <w:szCs w:val="20"/>
        </w:rPr>
        <w:t>prices of</w:t>
      </w:r>
      <w:r w:rsidR="000F1FAD" w:rsidRPr="00C74759">
        <w:rPr>
          <w:rFonts w:ascii="Arial" w:hAnsi="Arial" w:cs="Arial"/>
          <w:b w:val="0"/>
          <w:sz w:val="20"/>
          <w:szCs w:val="20"/>
        </w:rPr>
        <w:t xml:space="preserve"> both divisions </w:t>
      </w:r>
      <w:r w:rsidR="00475C9D">
        <w:rPr>
          <w:rFonts w:ascii="Arial" w:hAnsi="Arial" w:cs="Arial"/>
          <w:b w:val="0"/>
          <w:sz w:val="20"/>
          <w:szCs w:val="20"/>
        </w:rPr>
        <w:t>decelerated</w:t>
      </w:r>
      <w:r w:rsidR="00C91326" w:rsidRPr="00C74759">
        <w:rPr>
          <w:rFonts w:ascii="Arial" w:hAnsi="Arial" w:cs="Arial"/>
          <w:b w:val="0"/>
          <w:sz w:val="20"/>
          <w:szCs w:val="20"/>
        </w:rPr>
        <w:t xml:space="preserve"> </w:t>
      </w:r>
      <w:r w:rsidR="00DD5198" w:rsidRPr="00C74759">
        <w:rPr>
          <w:rFonts w:ascii="Arial" w:hAnsi="Arial" w:cs="Arial"/>
          <w:b w:val="0"/>
          <w:sz w:val="20"/>
          <w:szCs w:val="20"/>
        </w:rPr>
        <w:t>i</w:t>
      </w:r>
      <w:r w:rsidR="00C91326" w:rsidRPr="00C74759">
        <w:rPr>
          <w:rFonts w:ascii="Arial" w:hAnsi="Arial" w:cs="Arial"/>
          <w:b w:val="0"/>
          <w:sz w:val="20"/>
          <w:szCs w:val="20"/>
        </w:rPr>
        <w:t xml:space="preserve">n </w:t>
      </w:r>
      <w:r w:rsidR="00B90180">
        <w:rPr>
          <w:rFonts w:ascii="Arial" w:hAnsi="Arial" w:cs="Arial"/>
          <w:b w:val="0"/>
          <w:sz w:val="20"/>
          <w:szCs w:val="20"/>
        </w:rPr>
        <w:t>2014</w:t>
      </w:r>
      <w:r w:rsidR="00C91326" w:rsidRPr="00C74759">
        <w:rPr>
          <w:rFonts w:ascii="Arial" w:hAnsi="Arial" w:cs="Arial"/>
          <w:b w:val="0"/>
          <w:sz w:val="20"/>
          <w:szCs w:val="20"/>
        </w:rPr>
        <w:t xml:space="preserve">. In </w:t>
      </w:r>
      <w:r w:rsidR="00C91326" w:rsidRPr="00C74759">
        <w:rPr>
          <w:rFonts w:ascii="Arial" w:hAnsi="Arial" w:cs="Arial"/>
          <w:b w:val="0"/>
          <w:bCs w:val="0"/>
          <w:sz w:val="20"/>
        </w:rPr>
        <w:t xml:space="preserve">'housing, water, electricity, gas and other fuels', it was due to </w:t>
      </w:r>
      <w:r w:rsidR="00DD5198" w:rsidRPr="00C74759">
        <w:rPr>
          <w:rFonts w:ascii="Arial" w:hAnsi="Arial" w:cs="Arial"/>
          <w:b w:val="0"/>
          <w:bCs w:val="0"/>
          <w:sz w:val="20"/>
        </w:rPr>
        <w:t xml:space="preserve">a slowdown in the </w:t>
      </w:r>
      <w:r w:rsidR="00C91326" w:rsidRPr="00C74759">
        <w:rPr>
          <w:rFonts w:ascii="Arial" w:hAnsi="Arial" w:cs="Arial"/>
          <w:b w:val="0"/>
          <w:bCs w:val="0"/>
          <w:sz w:val="20"/>
        </w:rPr>
        <w:t>drop in prices of natural gas since May</w:t>
      </w:r>
      <w:r w:rsidR="008D42EE" w:rsidRPr="00C74759">
        <w:rPr>
          <w:rFonts w:ascii="Arial" w:hAnsi="Arial" w:cs="Arial"/>
          <w:b w:val="0"/>
          <w:bCs w:val="0"/>
          <w:sz w:val="20"/>
        </w:rPr>
        <w:t xml:space="preserve">, which </w:t>
      </w:r>
      <w:r w:rsidR="001441DB" w:rsidRPr="00C74759">
        <w:rPr>
          <w:rFonts w:ascii="Arial" w:hAnsi="Arial" w:cs="Arial"/>
          <w:b w:val="0"/>
          <w:bCs w:val="0"/>
          <w:sz w:val="20"/>
        </w:rPr>
        <w:t>turne</w:t>
      </w:r>
      <w:r w:rsidR="00142A95" w:rsidRPr="00C74759">
        <w:rPr>
          <w:rFonts w:ascii="Arial" w:hAnsi="Arial" w:cs="Arial"/>
          <w:b w:val="0"/>
          <w:bCs w:val="0"/>
          <w:sz w:val="20"/>
        </w:rPr>
        <w:t xml:space="preserve">d </w:t>
      </w:r>
      <w:r w:rsidR="008D42EE" w:rsidRPr="00C74759">
        <w:rPr>
          <w:rFonts w:ascii="Arial" w:hAnsi="Arial" w:cs="Arial"/>
          <w:b w:val="0"/>
          <w:bCs w:val="0"/>
          <w:sz w:val="20"/>
        </w:rPr>
        <w:t>t</w:t>
      </w:r>
      <w:r w:rsidR="00142A95" w:rsidRPr="00C74759">
        <w:rPr>
          <w:rFonts w:ascii="Arial" w:hAnsi="Arial" w:cs="Arial"/>
          <w:b w:val="0"/>
          <w:bCs w:val="0"/>
          <w:sz w:val="20"/>
        </w:rPr>
        <w:t>o growth</w:t>
      </w:r>
      <w:r w:rsidR="008D42EE" w:rsidRPr="00C74759">
        <w:rPr>
          <w:rFonts w:ascii="Arial" w:hAnsi="Arial" w:cs="Arial"/>
          <w:b w:val="0"/>
          <w:bCs w:val="0"/>
          <w:sz w:val="20"/>
        </w:rPr>
        <w:t xml:space="preserve"> since July</w:t>
      </w:r>
      <w:r w:rsidR="008D7006" w:rsidRPr="00C74759">
        <w:rPr>
          <w:rFonts w:ascii="Arial" w:hAnsi="Arial" w:cs="Arial"/>
          <w:b w:val="0"/>
          <w:bCs w:val="0"/>
          <w:sz w:val="20"/>
        </w:rPr>
        <w:t>.</w:t>
      </w:r>
      <w:r w:rsidR="009E1E3F">
        <w:rPr>
          <w:rFonts w:ascii="Arial" w:hAnsi="Arial" w:cs="Arial"/>
          <w:b w:val="0"/>
          <w:bCs w:val="0"/>
          <w:sz w:val="20"/>
        </w:rPr>
        <w:t xml:space="preserve"> The decline in prices </w:t>
      </w:r>
      <w:r w:rsidR="001A463F">
        <w:rPr>
          <w:rFonts w:ascii="Arial" w:hAnsi="Arial" w:cs="Arial"/>
          <w:b w:val="0"/>
          <w:bCs w:val="0"/>
          <w:sz w:val="20"/>
        </w:rPr>
        <w:t>of electricity slowed down since August 2014.</w:t>
      </w:r>
      <w:r w:rsidR="00C91326" w:rsidRPr="00C74759">
        <w:rPr>
          <w:rFonts w:ascii="Arial" w:hAnsi="Arial" w:cs="Arial"/>
          <w:b w:val="0"/>
          <w:bCs w:val="0"/>
          <w:sz w:val="20"/>
        </w:rPr>
        <w:t xml:space="preserve"> </w:t>
      </w:r>
      <w:r w:rsidR="008D7006" w:rsidRPr="00C74759">
        <w:rPr>
          <w:rFonts w:ascii="Arial" w:hAnsi="Arial" w:cs="Arial"/>
          <w:b w:val="0"/>
          <w:bCs w:val="0"/>
          <w:sz w:val="20"/>
        </w:rPr>
        <w:t>I</w:t>
      </w:r>
      <w:r w:rsidR="00C91326" w:rsidRPr="00C74759">
        <w:rPr>
          <w:rFonts w:ascii="Arial" w:hAnsi="Arial" w:cs="Arial"/>
          <w:b w:val="0"/>
          <w:bCs w:val="0"/>
          <w:sz w:val="20"/>
        </w:rPr>
        <w:t>n 'health'</w:t>
      </w:r>
      <w:r w:rsidR="008D7006" w:rsidRPr="00C74759">
        <w:rPr>
          <w:rFonts w:ascii="Arial" w:hAnsi="Arial" w:cs="Arial"/>
          <w:b w:val="0"/>
          <w:bCs w:val="0"/>
          <w:sz w:val="20"/>
        </w:rPr>
        <w:t xml:space="preserve">, </w:t>
      </w:r>
      <w:r w:rsidR="005D17B4" w:rsidRPr="00C74759">
        <w:rPr>
          <w:rFonts w:ascii="Arial" w:hAnsi="Arial" w:cs="Arial"/>
          <w:b w:val="0"/>
          <w:bCs w:val="0"/>
          <w:sz w:val="20"/>
        </w:rPr>
        <w:t>amounts paid by patients for pharmaceutical products rose</w:t>
      </w:r>
      <w:r w:rsidR="001A463F">
        <w:rPr>
          <w:rFonts w:ascii="Arial" w:hAnsi="Arial" w:cs="Arial"/>
          <w:b w:val="0"/>
          <w:bCs w:val="0"/>
          <w:sz w:val="20"/>
        </w:rPr>
        <w:t xml:space="preserve"> </w:t>
      </w:r>
      <w:r w:rsidR="00A13A69">
        <w:rPr>
          <w:rFonts w:ascii="Arial" w:hAnsi="Arial" w:cs="Arial"/>
          <w:b w:val="0"/>
          <w:bCs w:val="0"/>
          <w:sz w:val="20"/>
        </w:rPr>
        <w:t xml:space="preserve">continuously </w:t>
      </w:r>
      <w:r w:rsidR="001A463F">
        <w:rPr>
          <w:rFonts w:ascii="Arial" w:hAnsi="Arial" w:cs="Arial"/>
          <w:b w:val="0"/>
          <w:bCs w:val="0"/>
          <w:sz w:val="20"/>
        </w:rPr>
        <w:t>in particular</w:t>
      </w:r>
      <w:r w:rsidR="005D17B4" w:rsidRPr="00C74759">
        <w:rPr>
          <w:rFonts w:ascii="Arial" w:hAnsi="Arial" w:cs="Arial"/>
          <w:b w:val="0"/>
          <w:bCs w:val="0"/>
          <w:sz w:val="20"/>
        </w:rPr>
        <w:t>.</w:t>
      </w:r>
      <w:r w:rsidR="00C91326" w:rsidRPr="00C74759">
        <w:rPr>
          <w:rFonts w:ascii="Arial" w:hAnsi="Arial" w:cs="Arial"/>
          <w:b w:val="0"/>
          <w:bCs w:val="0"/>
          <w:sz w:val="20"/>
        </w:rPr>
        <w:t xml:space="preserve"> </w:t>
      </w:r>
    </w:p>
    <w:p w:rsidR="005D17B4" w:rsidRPr="00C74759" w:rsidRDefault="005D17B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5D17B4" w:rsidRDefault="00A96A2F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C74759">
        <w:rPr>
          <w:rFonts w:ascii="Arial" w:hAnsi="Arial" w:cs="Arial"/>
          <w:b w:val="0"/>
          <w:bCs w:val="0"/>
          <w:sz w:val="20"/>
        </w:rPr>
        <w:t>Decreasing i</w:t>
      </w:r>
      <w:r w:rsidR="0035305D" w:rsidRPr="00C74759">
        <w:rPr>
          <w:rFonts w:ascii="Arial" w:hAnsi="Arial" w:cs="Arial"/>
          <w:b w:val="0"/>
          <w:bCs w:val="0"/>
          <w:sz w:val="20"/>
        </w:rPr>
        <w:t xml:space="preserve">nfluence </w:t>
      </w:r>
      <w:r w:rsidR="00981F23" w:rsidRPr="00C74759">
        <w:rPr>
          <w:rFonts w:ascii="Arial" w:hAnsi="Arial" w:cs="Arial"/>
          <w:b w:val="0"/>
          <w:bCs w:val="0"/>
          <w:sz w:val="20"/>
        </w:rPr>
        <w:t>of</w:t>
      </w:r>
      <w:r w:rsidR="0035305D" w:rsidRPr="00C74759">
        <w:rPr>
          <w:rFonts w:ascii="Arial" w:hAnsi="Arial" w:cs="Arial"/>
          <w:b w:val="0"/>
          <w:bCs w:val="0"/>
          <w:sz w:val="20"/>
        </w:rPr>
        <w:t xml:space="preserve"> price</w:t>
      </w:r>
      <w:r w:rsidR="00981F23" w:rsidRPr="00C74759">
        <w:rPr>
          <w:rFonts w:ascii="Arial" w:hAnsi="Arial" w:cs="Arial"/>
          <w:b w:val="0"/>
          <w:bCs w:val="0"/>
          <w:sz w:val="20"/>
        </w:rPr>
        <w:t>s</w:t>
      </w:r>
      <w:r w:rsidR="0035305D" w:rsidRPr="00C74759">
        <w:rPr>
          <w:rFonts w:ascii="Arial" w:hAnsi="Arial" w:cs="Arial"/>
          <w:b w:val="0"/>
          <w:bCs w:val="0"/>
          <w:sz w:val="20"/>
        </w:rPr>
        <w:t xml:space="preserve"> of items contained in 'housing, water, electricity, gas and other fuels' </w:t>
      </w:r>
      <w:r w:rsidR="00981F23" w:rsidRPr="00C74759">
        <w:rPr>
          <w:rFonts w:ascii="Arial" w:hAnsi="Arial" w:cs="Arial"/>
          <w:b w:val="0"/>
          <w:bCs w:val="0"/>
          <w:sz w:val="20"/>
        </w:rPr>
        <w:t xml:space="preserve">is </w:t>
      </w:r>
      <w:r w:rsidR="0035305D" w:rsidRPr="00C74759">
        <w:rPr>
          <w:rFonts w:ascii="Arial" w:hAnsi="Arial" w:cs="Arial"/>
          <w:b w:val="0"/>
          <w:bCs w:val="0"/>
          <w:sz w:val="20"/>
        </w:rPr>
        <w:t>illustrate</w:t>
      </w:r>
      <w:r w:rsidR="00981F23" w:rsidRPr="00C74759">
        <w:rPr>
          <w:rFonts w:ascii="Arial" w:hAnsi="Arial" w:cs="Arial"/>
          <w:b w:val="0"/>
          <w:bCs w:val="0"/>
          <w:sz w:val="20"/>
        </w:rPr>
        <w:t>d</w:t>
      </w:r>
      <w:r w:rsidR="0035305D" w:rsidRPr="00C74759">
        <w:rPr>
          <w:rFonts w:ascii="Arial" w:hAnsi="Arial" w:cs="Arial"/>
          <w:b w:val="0"/>
          <w:bCs w:val="0"/>
          <w:sz w:val="20"/>
        </w:rPr>
        <w:t xml:space="preserve"> </w:t>
      </w:r>
      <w:r w:rsidR="00981F23" w:rsidRPr="00C74759">
        <w:rPr>
          <w:rFonts w:ascii="Arial" w:hAnsi="Arial" w:cs="Arial"/>
          <w:b w:val="0"/>
          <w:bCs w:val="0"/>
          <w:sz w:val="20"/>
        </w:rPr>
        <w:t xml:space="preserve">by the </w:t>
      </w:r>
      <w:r w:rsidR="0035305D" w:rsidRPr="00C74759">
        <w:rPr>
          <w:rFonts w:ascii="Arial" w:hAnsi="Arial" w:cs="Arial"/>
          <w:b w:val="0"/>
          <w:bCs w:val="0"/>
          <w:sz w:val="20"/>
        </w:rPr>
        <w:t>overall consumer price index without housing, water, energy, fuels.</w:t>
      </w:r>
      <w:r w:rsidR="005D17B4" w:rsidRPr="00C74759">
        <w:rPr>
          <w:rFonts w:ascii="Arial" w:hAnsi="Arial" w:cs="Arial"/>
          <w:b w:val="0"/>
          <w:bCs w:val="0"/>
          <w:sz w:val="20"/>
        </w:rPr>
        <w:t xml:space="preserve"> </w:t>
      </w:r>
      <w:r w:rsidR="00DD5198" w:rsidRPr="00C74759">
        <w:rPr>
          <w:rFonts w:ascii="Arial" w:hAnsi="Arial" w:cs="Arial"/>
          <w:b w:val="0"/>
          <w:bCs w:val="0"/>
          <w:sz w:val="20"/>
        </w:rPr>
        <w:t>Consumer prices went up by 0.</w:t>
      </w:r>
      <w:r w:rsidR="00A13A69">
        <w:rPr>
          <w:rFonts w:ascii="Arial" w:hAnsi="Arial" w:cs="Arial"/>
          <w:b w:val="0"/>
          <w:bCs w:val="0"/>
          <w:sz w:val="20"/>
        </w:rPr>
        <w:t>5</w:t>
      </w:r>
      <w:r w:rsidR="00DD5198" w:rsidRPr="00C74759">
        <w:rPr>
          <w:rFonts w:ascii="Arial" w:hAnsi="Arial" w:cs="Arial"/>
          <w:b w:val="0"/>
          <w:bCs w:val="0"/>
          <w:sz w:val="20"/>
        </w:rPr>
        <w:t xml:space="preserve">% </w:t>
      </w:r>
      <w:r w:rsidR="001441DB" w:rsidRPr="00C74759">
        <w:rPr>
          <w:rFonts w:ascii="Arial" w:hAnsi="Arial" w:cs="Arial"/>
          <w:b w:val="0"/>
          <w:bCs w:val="0"/>
          <w:sz w:val="20"/>
        </w:rPr>
        <w:t xml:space="preserve">in total </w:t>
      </w:r>
      <w:r w:rsidR="00DD5198" w:rsidRPr="00C74759">
        <w:rPr>
          <w:rFonts w:ascii="Arial" w:hAnsi="Arial" w:cs="Arial"/>
          <w:b w:val="0"/>
          <w:bCs w:val="0"/>
          <w:sz w:val="20"/>
        </w:rPr>
        <w:t>in Q</w:t>
      </w:r>
      <w:r w:rsidR="00A13A69">
        <w:rPr>
          <w:rFonts w:ascii="Arial" w:hAnsi="Arial" w:cs="Arial"/>
          <w:b w:val="0"/>
          <w:bCs w:val="0"/>
          <w:sz w:val="20"/>
        </w:rPr>
        <w:t>4</w:t>
      </w:r>
      <w:r w:rsidR="00DD5198" w:rsidRPr="00C74759">
        <w:rPr>
          <w:rFonts w:ascii="Arial" w:hAnsi="Arial" w:cs="Arial"/>
          <w:b w:val="0"/>
          <w:bCs w:val="0"/>
          <w:sz w:val="20"/>
        </w:rPr>
        <w:t xml:space="preserve"> 2014 (</w:t>
      </w:r>
      <w:r w:rsidR="001441DB" w:rsidRPr="00C74759">
        <w:rPr>
          <w:rFonts w:ascii="Arial" w:hAnsi="Arial" w:cs="Arial"/>
          <w:b w:val="0"/>
          <w:bCs w:val="0"/>
          <w:sz w:val="20"/>
        </w:rPr>
        <w:t xml:space="preserve">after </w:t>
      </w:r>
      <w:r w:rsidR="00DD5198" w:rsidRPr="00C74759">
        <w:rPr>
          <w:rFonts w:ascii="Arial" w:hAnsi="Arial" w:cs="Arial"/>
          <w:b w:val="0"/>
          <w:bCs w:val="0"/>
          <w:sz w:val="20"/>
        </w:rPr>
        <w:t>exclu</w:t>
      </w:r>
      <w:r w:rsidR="001441DB" w:rsidRPr="00C74759">
        <w:rPr>
          <w:rFonts w:ascii="Arial" w:hAnsi="Arial" w:cs="Arial"/>
          <w:b w:val="0"/>
          <w:bCs w:val="0"/>
          <w:sz w:val="20"/>
        </w:rPr>
        <w:t>sion of</w:t>
      </w:r>
      <w:r w:rsidR="00DD5198" w:rsidRPr="00C74759">
        <w:rPr>
          <w:rFonts w:ascii="Arial" w:hAnsi="Arial" w:cs="Arial"/>
          <w:b w:val="0"/>
          <w:bCs w:val="0"/>
          <w:sz w:val="20"/>
        </w:rPr>
        <w:t xml:space="preserve"> items of housing </w:t>
      </w:r>
      <w:r w:rsidR="00981F23" w:rsidRPr="00C74759">
        <w:rPr>
          <w:rFonts w:ascii="Arial" w:hAnsi="Arial" w:cs="Arial"/>
          <w:b w:val="0"/>
          <w:bCs w:val="0"/>
          <w:sz w:val="20"/>
        </w:rPr>
        <w:t xml:space="preserve">it was </w:t>
      </w:r>
      <w:r w:rsidR="00DD5198" w:rsidRPr="00C74759">
        <w:rPr>
          <w:rFonts w:ascii="Arial" w:hAnsi="Arial" w:cs="Arial"/>
          <w:b w:val="0"/>
          <w:bCs w:val="0"/>
          <w:sz w:val="20"/>
        </w:rPr>
        <w:t xml:space="preserve">by </w:t>
      </w:r>
      <w:r w:rsidR="00A13A69">
        <w:rPr>
          <w:rFonts w:ascii="Arial" w:hAnsi="Arial" w:cs="Arial"/>
          <w:b w:val="0"/>
          <w:bCs w:val="0"/>
          <w:sz w:val="20"/>
        </w:rPr>
        <w:t>0</w:t>
      </w:r>
      <w:r w:rsidR="00DD5198" w:rsidRPr="00C74759">
        <w:rPr>
          <w:rFonts w:ascii="Arial" w:hAnsi="Arial" w:cs="Arial"/>
          <w:b w:val="0"/>
          <w:bCs w:val="0"/>
          <w:sz w:val="20"/>
        </w:rPr>
        <w:t>.</w:t>
      </w:r>
      <w:r w:rsidR="00A13A69">
        <w:rPr>
          <w:rFonts w:ascii="Arial" w:hAnsi="Arial" w:cs="Arial"/>
          <w:b w:val="0"/>
          <w:bCs w:val="0"/>
          <w:sz w:val="20"/>
        </w:rPr>
        <w:t>9</w:t>
      </w:r>
      <w:r w:rsidR="00DD5198" w:rsidRPr="00C74759">
        <w:rPr>
          <w:rFonts w:ascii="Arial" w:hAnsi="Arial" w:cs="Arial"/>
          <w:b w:val="0"/>
          <w:bCs w:val="0"/>
          <w:sz w:val="20"/>
        </w:rPr>
        <w:t>%).</w:t>
      </w:r>
    </w:p>
    <w:p w:rsidR="00E14F24" w:rsidRPr="00F4523A" w:rsidRDefault="00E14F2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EF1CBA" w:rsidRPr="005D53B9" w:rsidRDefault="009C584F" w:rsidP="00EF1CBA">
      <w:pPr>
        <w:pStyle w:val="Zkladntextodsazen2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  <w:r w:rsidRPr="00520B92">
        <w:rPr>
          <w:szCs w:val="20"/>
        </w:rPr>
        <w:pict>
          <v:shape id="_x0000_i1026" type="#_x0000_t75" style="width:425.25pt;height:271.5pt">
            <v:imagedata r:id="rId8" o:title=""/>
          </v:shape>
        </w:pict>
      </w:r>
    </w:p>
    <w:p w:rsidR="00CC5AA8" w:rsidRDefault="00CC5AA8" w:rsidP="00031202">
      <w:pPr>
        <w:pStyle w:val="Zkladntextodsazen2"/>
        <w:ind w:firstLine="0"/>
        <w:rPr>
          <w:rFonts w:ascii="Arial" w:hAnsi="Arial" w:cs="Arial"/>
          <w:b w:val="0"/>
          <w:bCs w:val="0"/>
          <w:sz w:val="20"/>
        </w:rPr>
      </w:pPr>
    </w:p>
    <w:p w:rsidR="00096155" w:rsidRPr="00360825" w:rsidRDefault="00475C9D" w:rsidP="0009615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="00096155" w:rsidRPr="00360825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096155" w:rsidRPr="00360825">
        <w:rPr>
          <w:rFonts w:ascii="Arial" w:hAnsi="Arial" w:cs="Arial"/>
          <w:bCs w:val="0"/>
          <w:sz w:val="20"/>
        </w:rPr>
        <w:t>'communication'</w:t>
      </w:r>
      <w:r w:rsidR="00096155" w:rsidRPr="00981F23">
        <w:rPr>
          <w:rFonts w:ascii="Arial" w:hAnsi="Arial" w:cs="Arial"/>
          <w:b w:val="0"/>
          <w:bCs w:val="0"/>
          <w:sz w:val="20"/>
        </w:rPr>
        <w:t>,</w:t>
      </w:r>
      <w:r w:rsidR="00096155" w:rsidRPr="00360825">
        <w:rPr>
          <w:rFonts w:ascii="Arial" w:hAnsi="Arial" w:cs="Arial"/>
          <w:b w:val="0"/>
          <w:bCs w:val="0"/>
          <w:sz w:val="20"/>
        </w:rPr>
        <w:t xml:space="preserve"> </w:t>
      </w:r>
      <w:r w:rsidR="00096155">
        <w:rPr>
          <w:rFonts w:ascii="Arial" w:hAnsi="Arial" w:cs="Arial"/>
          <w:b w:val="0"/>
          <w:bCs w:val="0"/>
          <w:sz w:val="20"/>
        </w:rPr>
        <w:t>the</w:t>
      </w:r>
      <w:r w:rsidR="00ED216F">
        <w:rPr>
          <w:rFonts w:ascii="Arial" w:hAnsi="Arial" w:cs="Arial"/>
          <w:b w:val="0"/>
          <w:bCs w:val="0"/>
          <w:sz w:val="20"/>
        </w:rPr>
        <w:t xml:space="preserve"> y-o-y</w:t>
      </w:r>
      <w:r w:rsidR="00096155" w:rsidRPr="00246B9A">
        <w:rPr>
          <w:rFonts w:ascii="Arial" w:hAnsi="Arial" w:cs="Arial"/>
          <w:b w:val="0"/>
          <w:bCs w:val="0"/>
          <w:sz w:val="20"/>
        </w:rPr>
        <w:t xml:space="preserve"> decline in prices of telephone and </w:t>
      </w:r>
      <w:proofErr w:type="spellStart"/>
      <w:r w:rsidR="00096155" w:rsidRPr="00246B9A">
        <w:rPr>
          <w:rFonts w:ascii="Arial" w:hAnsi="Arial" w:cs="Arial"/>
          <w:b w:val="0"/>
          <w:bCs w:val="0"/>
          <w:sz w:val="20"/>
        </w:rPr>
        <w:t>telefax</w:t>
      </w:r>
      <w:proofErr w:type="spellEnd"/>
      <w:r w:rsidR="00096155" w:rsidRPr="00246B9A">
        <w:rPr>
          <w:rFonts w:ascii="Arial" w:hAnsi="Arial" w:cs="Arial"/>
          <w:b w:val="0"/>
          <w:bCs w:val="0"/>
          <w:sz w:val="20"/>
        </w:rPr>
        <w:t xml:space="preserve"> services </w:t>
      </w:r>
      <w:r w:rsidR="00ED216F">
        <w:rPr>
          <w:rFonts w:ascii="Arial" w:hAnsi="Arial" w:cs="Arial"/>
          <w:b w:val="0"/>
          <w:bCs w:val="0"/>
          <w:sz w:val="20"/>
        </w:rPr>
        <w:t>continued</w:t>
      </w:r>
      <w:r>
        <w:rPr>
          <w:rFonts w:ascii="Arial" w:hAnsi="Arial" w:cs="Arial"/>
          <w:b w:val="0"/>
          <w:bCs w:val="0"/>
          <w:sz w:val="20"/>
        </w:rPr>
        <w:t xml:space="preserve"> as well</w:t>
      </w:r>
      <w:r w:rsidR="00BC553A">
        <w:rPr>
          <w:rFonts w:ascii="Arial" w:hAnsi="Arial" w:cs="Arial"/>
          <w:b w:val="0"/>
          <w:bCs w:val="0"/>
          <w:sz w:val="20"/>
        </w:rPr>
        <w:t>;</w:t>
      </w:r>
      <w:r w:rsidR="00ED216F">
        <w:rPr>
          <w:rFonts w:ascii="Arial" w:hAnsi="Arial" w:cs="Arial"/>
          <w:b w:val="0"/>
          <w:bCs w:val="0"/>
          <w:sz w:val="20"/>
        </w:rPr>
        <w:t xml:space="preserve"> </w:t>
      </w:r>
      <w:r w:rsidR="00BC553A">
        <w:rPr>
          <w:rFonts w:ascii="Arial" w:hAnsi="Arial" w:cs="Arial"/>
          <w:b w:val="0"/>
          <w:bCs w:val="0"/>
          <w:sz w:val="20"/>
        </w:rPr>
        <w:t>it</w:t>
      </w:r>
      <w:r w:rsidR="00ED216F">
        <w:rPr>
          <w:rFonts w:ascii="Arial" w:hAnsi="Arial" w:cs="Arial"/>
          <w:b w:val="0"/>
          <w:bCs w:val="0"/>
          <w:sz w:val="20"/>
        </w:rPr>
        <w:t xml:space="preserve"> </w:t>
      </w:r>
      <w:r w:rsidR="00096155">
        <w:rPr>
          <w:rFonts w:ascii="Arial" w:hAnsi="Arial" w:cs="Arial"/>
          <w:b w:val="0"/>
          <w:bCs w:val="0"/>
          <w:sz w:val="20"/>
        </w:rPr>
        <w:t>slowed down</w:t>
      </w:r>
      <w:r w:rsidR="00BC553A">
        <w:rPr>
          <w:rFonts w:ascii="Arial" w:hAnsi="Arial" w:cs="Arial"/>
          <w:b w:val="0"/>
          <w:bCs w:val="0"/>
          <w:sz w:val="20"/>
        </w:rPr>
        <w:t xml:space="preserve"> </w:t>
      </w:r>
      <w:r w:rsidR="00454ECE">
        <w:rPr>
          <w:rFonts w:ascii="Arial" w:hAnsi="Arial" w:cs="Arial"/>
          <w:b w:val="0"/>
          <w:bCs w:val="0"/>
          <w:sz w:val="20"/>
        </w:rPr>
        <w:t>in</w:t>
      </w:r>
      <w:r w:rsidR="00A13A69">
        <w:rPr>
          <w:rFonts w:ascii="Arial" w:hAnsi="Arial" w:cs="Arial"/>
          <w:b w:val="0"/>
          <w:bCs w:val="0"/>
          <w:sz w:val="20"/>
        </w:rPr>
        <w:t xml:space="preserve"> the individual quarters of 2014</w:t>
      </w:r>
      <w:r w:rsidR="00096155" w:rsidRPr="00246B9A">
        <w:rPr>
          <w:rFonts w:ascii="Arial" w:hAnsi="Arial" w:cs="Arial"/>
          <w:b w:val="0"/>
          <w:bCs w:val="0"/>
          <w:sz w:val="20"/>
        </w:rPr>
        <w:t>.</w:t>
      </w:r>
      <w:r w:rsidR="00096155" w:rsidRPr="00360825">
        <w:rPr>
          <w:rFonts w:ascii="Arial" w:hAnsi="Arial" w:cs="Arial"/>
          <w:b w:val="0"/>
          <w:bCs w:val="0"/>
          <w:sz w:val="20"/>
        </w:rPr>
        <w:t xml:space="preserve"> </w:t>
      </w:r>
    </w:p>
    <w:p w:rsidR="00104E78" w:rsidRDefault="009C584F" w:rsidP="00031202">
      <w:pPr>
        <w:pStyle w:val="Zkladntextodsazen2"/>
        <w:ind w:firstLine="0"/>
        <w:rPr>
          <w:rStyle w:val="hps"/>
          <w:szCs w:val="20"/>
        </w:rPr>
      </w:pPr>
      <w:r w:rsidRPr="00520B92">
        <w:rPr>
          <w:rStyle w:val="hps"/>
          <w:szCs w:val="20"/>
        </w:rPr>
        <w:pict>
          <v:shape id="_x0000_i1027" type="#_x0000_t75" style="width:424.5pt;height:240pt">
            <v:imagedata r:id="rId9" o:title=""/>
          </v:shape>
        </w:pict>
      </w:r>
    </w:p>
    <w:p w:rsidR="00A1207F" w:rsidRDefault="00A1207F" w:rsidP="00031202">
      <w:pPr>
        <w:pStyle w:val="Zkladntextodsazen2"/>
        <w:ind w:firstLine="0"/>
        <w:rPr>
          <w:rStyle w:val="hps"/>
          <w:rFonts w:ascii="Arial" w:hAnsi="Arial" w:cs="Arial"/>
          <w:b w:val="0"/>
          <w:color w:val="222222"/>
          <w:sz w:val="20"/>
          <w:szCs w:val="20"/>
        </w:rPr>
      </w:pPr>
    </w:p>
    <w:p w:rsidR="00A1207F" w:rsidRDefault="00A1207F" w:rsidP="00A1207F">
      <w:pPr>
        <w:pStyle w:val="Zkladntextodsazen2"/>
        <w:spacing w:line="276" w:lineRule="auto"/>
        <w:ind w:firstLine="0"/>
        <w:rPr>
          <w:rStyle w:val="hps"/>
          <w:rFonts w:ascii="Arial" w:hAnsi="Arial" w:cs="Arial"/>
          <w:b w:val="0"/>
          <w:color w:val="222222"/>
          <w:sz w:val="20"/>
          <w:szCs w:val="20"/>
        </w:rPr>
      </w:pPr>
      <w:r w:rsidRPr="00A437BD">
        <w:rPr>
          <w:rFonts w:ascii="Arial" w:hAnsi="Arial" w:cs="Arial"/>
          <w:b w:val="0"/>
          <w:bCs w:val="0"/>
          <w:sz w:val="20"/>
        </w:rPr>
        <w:lastRenderedPageBreak/>
        <w:t xml:space="preserve">In </w:t>
      </w:r>
      <w:r w:rsidRPr="00A437BD">
        <w:rPr>
          <w:rFonts w:ascii="Arial" w:hAnsi="Arial" w:cs="Arial"/>
          <w:b w:val="0"/>
          <w:sz w:val="20"/>
        </w:rPr>
        <w:t>'</w:t>
      </w:r>
      <w:r w:rsidRPr="00A437BD">
        <w:rPr>
          <w:rFonts w:ascii="Arial" w:hAnsi="Arial" w:cs="Arial"/>
          <w:sz w:val="20"/>
        </w:rPr>
        <w:t>food and non-alcoholic beverages</w:t>
      </w:r>
      <w:r w:rsidRPr="00A437BD">
        <w:rPr>
          <w:rFonts w:ascii="Arial" w:hAnsi="Arial" w:cs="Arial"/>
          <w:b w:val="0"/>
          <w:sz w:val="20"/>
        </w:rPr>
        <w:t xml:space="preserve">', </w:t>
      </w:r>
      <w:r w:rsidR="00FA5720">
        <w:rPr>
          <w:rFonts w:ascii="Arial" w:hAnsi="Arial" w:cs="Arial"/>
          <w:b w:val="0"/>
          <w:sz w:val="20"/>
        </w:rPr>
        <w:t xml:space="preserve">a slowdown in </w:t>
      </w:r>
      <w:r>
        <w:rPr>
          <w:rFonts w:ascii="Arial" w:hAnsi="Arial" w:cs="Arial"/>
          <w:b w:val="0"/>
          <w:sz w:val="20"/>
        </w:rPr>
        <w:t xml:space="preserve">the y-o-y price growth </w:t>
      </w:r>
      <w:r w:rsidR="00FA5720">
        <w:rPr>
          <w:rFonts w:ascii="Arial" w:hAnsi="Arial" w:cs="Arial"/>
          <w:b w:val="0"/>
          <w:sz w:val="20"/>
        </w:rPr>
        <w:t xml:space="preserve">came from </w:t>
      </w:r>
      <w:r w:rsidR="00651009">
        <w:rPr>
          <w:rFonts w:ascii="Arial" w:hAnsi="Arial" w:cs="Arial"/>
          <w:b w:val="0"/>
          <w:sz w:val="20"/>
        </w:rPr>
        <w:t xml:space="preserve">the </w:t>
      </w:r>
      <w:r w:rsidR="00FA5720">
        <w:rPr>
          <w:rFonts w:ascii="Arial" w:hAnsi="Arial" w:cs="Arial"/>
          <w:b w:val="0"/>
          <w:sz w:val="20"/>
        </w:rPr>
        <w:t xml:space="preserve">higher </w:t>
      </w:r>
      <w:r w:rsidR="00FC3B74">
        <w:rPr>
          <w:rFonts w:ascii="Arial" w:hAnsi="Arial" w:cs="Arial"/>
          <w:b w:val="0"/>
          <w:sz w:val="20"/>
        </w:rPr>
        <w:t>price</w:t>
      </w:r>
      <w:r w:rsidR="00651009">
        <w:rPr>
          <w:rFonts w:ascii="Arial" w:hAnsi="Arial" w:cs="Arial"/>
          <w:b w:val="0"/>
          <w:sz w:val="20"/>
        </w:rPr>
        <w:t xml:space="preserve"> rise</w:t>
      </w:r>
      <w:r w:rsidR="00FC3B74">
        <w:rPr>
          <w:rFonts w:ascii="Arial" w:hAnsi="Arial" w:cs="Arial"/>
          <w:b w:val="0"/>
          <w:sz w:val="20"/>
        </w:rPr>
        <w:t xml:space="preserve"> in </w:t>
      </w:r>
      <w:r w:rsidR="006D75A7">
        <w:rPr>
          <w:rFonts w:ascii="Arial" w:hAnsi="Arial" w:cs="Arial"/>
          <w:b w:val="0"/>
          <w:sz w:val="20"/>
        </w:rPr>
        <w:t>Q</w:t>
      </w:r>
      <w:r w:rsidR="00FC3B74">
        <w:rPr>
          <w:rFonts w:ascii="Arial" w:hAnsi="Arial" w:cs="Arial"/>
          <w:b w:val="0"/>
          <w:sz w:val="20"/>
        </w:rPr>
        <w:t>4 2013 compared with Q4 2014</w:t>
      </w:r>
      <w:r w:rsidR="006D75A7">
        <w:rPr>
          <w:rFonts w:ascii="Arial" w:hAnsi="Arial" w:cs="Arial"/>
          <w:b w:val="0"/>
          <w:sz w:val="20"/>
        </w:rPr>
        <w:t xml:space="preserve">. </w:t>
      </w:r>
      <w:r w:rsidR="008C6F05">
        <w:rPr>
          <w:rFonts w:ascii="Arial" w:hAnsi="Arial" w:cs="Arial"/>
          <w:b w:val="0"/>
          <w:sz w:val="20"/>
        </w:rPr>
        <w:t>This was especially true for meat, milk, cheese, yoghurts, other milk products, butter</w:t>
      </w:r>
      <w:r w:rsidR="008C6F05" w:rsidRPr="00285314">
        <w:rPr>
          <w:rFonts w:ascii="Arial" w:hAnsi="Arial" w:cs="Arial"/>
          <w:b w:val="0"/>
          <w:sz w:val="20"/>
        </w:rPr>
        <w:t xml:space="preserve">. </w:t>
      </w:r>
      <w:r w:rsidR="00343C5C" w:rsidRPr="00285314">
        <w:rPr>
          <w:rFonts w:ascii="Arial" w:hAnsi="Arial" w:cs="Arial"/>
          <w:b w:val="0"/>
          <w:sz w:val="20"/>
        </w:rPr>
        <w:t xml:space="preserve">The </w:t>
      </w:r>
      <w:r w:rsidR="009C2F95" w:rsidRPr="00285314">
        <w:rPr>
          <w:rFonts w:ascii="Arial" w:hAnsi="Arial" w:cs="Arial"/>
          <w:b w:val="0"/>
          <w:sz w:val="20"/>
        </w:rPr>
        <w:t>fall</w:t>
      </w:r>
      <w:r w:rsidR="00343C5C" w:rsidRPr="00285314">
        <w:rPr>
          <w:rFonts w:ascii="Arial" w:hAnsi="Arial" w:cs="Arial"/>
          <w:b w:val="0"/>
          <w:sz w:val="20"/>
        </w:rPr>
        <w:t xml:space="preserve"> in prices of</w:t>
      </w:r>
      <w:r w:rsidRPr="00285314">
        <w:rPr>
          <w:rFonts w:ascii="Arial" w:hAnsi="Arial" w:cs="Arial"/>
          <w:b w:val="0"/>
          <w:sz w:val="20"/>
        </w:rPr>
        <w:t xml:space="preserve"> vegetables</w:t>
      </w:r>
      <w:r w:rsidR="00343C5C" w:rsidRPr="005E28D1">
        <w:rPr>
          <w:rFonts w:ascii="Arial" w:hAnsi="Arial" w:cs="Arial"/>
          <w:b w:val="0"/>
          <w:sz w:val="20"/>
        </w:rPr>
        <w:t xml:space="preserve"> </w:t>
      </w:r>
      <w:r w:rsidR="00285314">
        <w:rPr>
          <w:rFonts w:ascii="Arial" w:hAnsi="Arial" w:cs="Arial"/>
          <w:b w:val="0"/>
          <w:sz w:val="20"/>
        </w:rPr>
        <w:t xml:space="preserve">slowed down </w:t>
      </w:r>
      <w:r w:rsidR="00285314" w:rsidRPr="005E28D1">
        <w:rPr>
          <w:rFonts w:ascii="Arial" w:hAnsi="Arial" w:cs="Arial"/>
          <w:b w:val="0"/>
          <w:sz w:val="20"/>
        </w:rPr>
        <w:t xml:space="preserve">due to prices of vegetables cultivated for their fruit, which </w:t>
      </w:r>
      <w:r w:rsidR="00285314">
        <w:rPr>
          <w:rFonts w:ascii="Arial" w:hAnsi="Arial" w:cs="Arial"/>
          <w:b w:val="0"/>
          <w:sz w:val="20"/>
        </w:rPr>
        <w:t xml:space="preserve">were higher by </w:t>
      </w:r>
      <w:r w:rsidR="005D755C">
        <w:rPr>
          <w:rFonts w:ascii="Arial" w:hAnsi="Arial" w:cs="Arial"/>
          <w:b w:val="0"/>
          <w:sz w:val="20"/>
        </w:rPr>
        <w:t>11.8% in Q4 (</w:t>
      </w:r>
      <w:r w:rsidR="00285314" w:rsidRPr="005E28D1">
        <w:rPr>
          <w:rFonts w:ascii="Arial" w:hAnsi="Arial" w:cs="Arial"/>
          <w:b w:val="0"/>
          <w:sz w:val="20"/>
        </w:rPr>
        <w:t>8.9% in Q3</w:t>
      </w:r>
      <w:r w:rsidR="005D755C">
        <w:rPr>
          <w:rFonts w:ascii="Arial" w:hAnsi="Arial" w:cs="Arial"/>
          <w:b w:val="0"/>
          <w:sz w:val="20"/>
        </w:rPr>
        <w:t>)</w:t>
      </w:r>
      <w:r w:rsidR="00285314" w:rsidRPr="005E28D1">
        <w:rPr>
          <w:rFonts w:ascii="Arial" w:hAnsi="Arial" w:cs="Arial"/>
          <w:b w:val="0"/>
          <w:sz w:val="20"/>
        </w:rPr>
        <w:t>.</w:t>
      </w:r>
      <w:r w:rsidR="00285314">
        <w:rPr>
          <w:rFonts w:ascii="Arial" w:hAnsi="Arial" w:cs="Arial"/>
          <w:b w:val="0"/>
          <w:sz w:val="20"/>
        </w:rPr>
        <w:t xml:space="preserve"> </w:t>
      </w:r>
      <w:r w:rsidR="005D755C">
        <w:rPr>
          <w:rFonts w:ascii="Arial" w:hAnsi="Arial" w:cs="Arial"/>
          <w:b w:val="0"/>
          <w:sz w:val="20"/>
        </w:rPr>
        <w:t xml:space="preserve">On the other hand, </w:t>
      </w:r>
      <w:r w:rsidR="00D5053B" w:rsidRPr="005E28D1">
        <w:rPr>
          <w:rFonts w:ascii="Arial" w:hAnsi="Arial" w:cs="Arial"/>
          <w:b w:val="0"/>
          <w:sz w:val="20"/>
        </w:rPr>
        <w:t>a decline in prices of</w:t>
      </w:r>
      <w:r w:rsidR="009147FD" w:rsidRPr="005E28D1">
        <w:rPr>
          <w:rFonts w:ascii="Arial" w:hAnsi="Arial" w:cs="Arial"/>
          <w:b w:val="0"/>
          <w:sz w:val="20"/>
        </w:rPr>
        <w:t xml:space="preserve"> potatoes </w:t>
      </w:r>
      <w:r w:rsidR="005D755C">
        <w:rPr>
          <w:rFonts w:ascii="Arial" w:hAnsi="Arial" w:cs="Arial"/>
          <w:b w:val="0"/>
          <w:sz w:val="20"/>
        </w:rPr>
        <w:t xml:space="preserve">deepened to -44.5% from </w:t>
      </w:r>
      <w:r w:rsidR="009147FD" w:rsidRPr="005E28D1">
        <w:rPr>
          <w:rFonts w:ascii="Arial" w:hAnsi="Arial" w:cs="Arial"/>
          <w:b w:val="0"/>
          <w:sz w:val="20"/>
        </w:rPr>
        <w:t>-38.9%</w:t>
      </w:r>
      <w:r w:rsidR="005D755C">
        <w:rPr>
          <w:rFonts w:ascii="Arial" w:hAnsi="Arial" w:cs="Arial"/>
          <w:b w:val="0"/>
          <w:sz w:val="20"/>
        </w:rPr>
        <w:t xml:space="preserve"> in </w:t>
      </w:r>
      <w:r w:rsidR="002E359E">
        <w:rPr>
          <w:rFonts w:ascii="Arial" w:hAnsi="Arial" w:cs="Arial"/>
          <w:b w:val="0"/>
          <w:sz w:val="20"/>
        </w:rPr>
        <w:t>Q3</w:t>
      </w:r>
      <w:r w:rsidR="00D5053B" w:rsidRPr="005E28D1">
        <w:rPr>
          <w:rFonts w:ascii="Arial" w:hAnsi="Arial" w:cs="Arial"/>
          <w:b w:val="0"/>
          <w:sz w:val="20"/>
        </w:rPr>
        <w:t xml:space="preserve">. </w:t>
      </w:r>
    </w:p>
    <w:p w:rsidR="00A94B89" w:rsidRDefault="009C584F" w:rsidP="00EE0608">
      <w:pPr>
        <w:pStyle w:val="Zkladntextodsazen2"/>
        <w:ind w:firstLine="0"/>
        <w:rPr>
          <w:szCs w:val="20"/>
          <w:highlight w:val="green"/>
        </w:rPr>
      </w:pPr>
      <w:r w:rsidRPr="00520B92">
        <w:rPr>
          <w:szCs w:val="20"/>
        </w:rPr>
        <w:pict>
          <v:shape id="_x0000_i1028" type="#_x0000_t75" style="width:447.75pt;height:274.5pt">
            <v:imagedata r:id="rId10" o:title=""/>
          </v:shape>
        </w:pict>
      </w:r>
    </w:p>
    <w:p w:rsidR="00A94B89" w:rsidRPr="00AC13D9" w:rsidRDefault="00A94B89" w:rsidP="00EE0608">
      <w:pPr>
        <w:pStyle w:val="Zkladntextodsazen2"/>
        <w:ind w:firstLine="0"/>
        <w:rPr>
          <w:rFonts w:ascii="Arial" w:hAnsi="Arial" w:cs="Arial"/>
          <w:szCs w:val="20"/>
          <w:highlight w:val="green"/>
        </w:rPr>
      </w:pPr>
    </w:p>
    <w:p w:rsidR="00A1207F" w:rsidRDefault="0045520B" w:rsidP="00A1207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DD6EF7">
        <w:rPr>
          <w:rFonts w:ascii="Arial" w:hAnsi="Arial" w:cs="Arial"/>
          <w:b w:val="0"/>
          <w:bCs w:val="0"/>
          <w:sz w:val="20"/>
          <w:szCs w:val="20"/>
        </w:rPr>
        <w:t>I</w:t>
      </w:r>
      <w:r w:rsidR="00A1207F" w:rsidRPr="00DD6EF7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A1207F" w:rsidRPr="00DD6EF7">
        <w:rPr>
          <w:rFonts w:ascii="Arial" w:hAnsi="Arial" w:cs="Arial"/>
          <w:b w:val="0"/>
          <w:sz w:val="20"/>
        </w:rPr>
        <w:t>'</w:t>
      </w:r>
      <w:r w:rsidR="00A1207F" w:rsidRPr="00DD6EF7">
        <w:rPr>
          <w:rFonts w:ascii="Arial" w:hAnsi="Arial" w:cs="Arial"/>
          <w:sz w:val="20"/>
        </w:rPr>
        <w:t>alcoholic beverages and tobacco</w:t>
      </w:r>
      <w:r w:rsidR="00A1207F" w:rsidRPr="00DD6EF7">
        <w:rPr>
          <w:rFonts w:ascii="Arial" w:hAnsi="Arial" w:cs="Arial"/>
          <w:b w:val="0"/>
          <w:sz w:val="20"/>
        </w:rPr>
        <w:t>'</w:t>
      </w:r>
      <w:r w:rsidRPr="00DD6EF7">
        <w:rPr>
          <w:rFonts w:ascii="Arial" w:hAnsi="Arial" w:cs="Arial"/>
          <w:b w:val="0"/>
          <w:sz w:val="20"/>
        </w:rPr>
        <w:t xml:space="preserve">, </w:t>
      </w:r>
      <w:r w:rsidR="000B3676" w:rsidRPr="00DD6EF7">
        <w:rPr>
          <w:rFonts w:ascii="Arial" w:hAnsi="Arial" w:cs="Arial"/>
          <w:b w:val="0"/>
          <w:bCs w:val="0"/>
          <w:sz w:val="20"/>
          <w:szCs w:val="20"/>
        </w:rPr>
        <w:t xml:space="preserve">the price growth </w:t>
      </w:r>
      <w:r w:rsidRPr="00DD6EF7">
        <w:rPr>
          <w:rFonts w:ascii="Arial" w:hAnsi="Arial" w:cs="Arial"/>
          <w:b w:val="0"/>
          <w:bCs w:val="0"/>
          <w:sz w:val="20"/>
          <w:szCs w:val="20"/>
        </w:rPr>
        <w:t xml:space="preserve">of </w:t>
      </w:r>
      <w:r w:rsidR="00DD6EF7">
        <w:rPr>
          <w:rFonts w:ascii="Arial" w:hAnsi="Arial" w:cs="Arial"/>
          <w:b w:val="0"/>
          <w:bCs w:val="0"/>
          <w:sz w:val="20"/>
          <w:szCs w:val="20"/>
        </w:rPr>
        <w:t xml:space="preserve">alcoholic beverages slowed down to 1.0% from 2.6% in Q3 and </w:t>
      </w:r>
      <w:r w:rsidRPr="00DD6EF7">
        <w:rPr>
          <w:rFonts w:ascii="Arial" w:hAnsi="Arial" w:cs="Arial"/>
          <w:b w:val="0"/>
          <w:bCs w:val="0"/>
          <w:sz w:val="20"/>
          <w:szCs w:val="20"/>
        </w:rPr>
        <w:t>tobacco products</w:t>
      </w:r>
      <w:r w:rsidR="00A1207F" w:rsidRPr="00DD6EF7">
        <w:rPr>
          <w:rFonts w:ascii="Arial" w:hAnsi="Arial" w:cs="Arial"/>
          <w:b w:val="0"/>
          <w:sz w:val="20"/>
        </w:rPr>
        <w:t xml:space="preserve"> </w:t>
      </w:r>
      <w:r w:rsidRPr="00DD6EF7">
        <w:rPr>
          <w:rFonts w:ascii="Arial" w:hAnsi="Arial" w:cs="Arial"/>
          <w:b w:val="0"/>
          <w:sz w:val="20"/>
        </w:rPr>
        <w:t xml:space="preserve">to </w:t>
      </w:r>
      <w:r w:rsidR="00DD6EF7">
        <w:rPr>
          <w:rFonts w:ascii="Arial" w:hAnsi="Arial" w:cs="Arial"/>
          <w:b w:val="0"/>
          <w:sz w:val="20"/>
        </w:rPr>
        <w:t>1</w:t>
      </w:r>
      <w:r w:rsidRPr="00DD6EF7">
        <w:rPr>
          <w:rFonts w:ascii="Arial" w:hAnsi="Arial" w:cs="Arial"/>
          <w:b w:val="0"/>
          <w:sz w:val="20"/>
        </w:rPr>
        <w:t>.</w:t>
      </w:r>
      <w:r w:rsidR="00DD6EF7">
        <w:rPr>
          <w:rFonts w:ascii="Arial" w:hAnsi="Arial" w:cs="Arial"/>
          <w:b w:val="0"/>
          <w:sz w:val="20"/>
        </w:rPr>
        <w:t>8</w:t>
      </w:r>
      <w:r w:rsidRPr="00DD6EF7">
        <w:rPr>
          <w:rFonts w:ascii="Arial" w:hAnsi="Arial" w:cs="Arial"/>
          <w:b w:val="0"/>
          <w:sz w:val="20"/>
        </w:rPr>
        <w:t xml:space="preserve">% from </w:t>
      </w:r>
      <w:r w:rsidR="00DD6EF7">
        <w:rPr>
          <w:rFonts w:ascii="Arial" w:hAnsi="Arial" w:cs="Arial"/>
          <w:b w:val="0"/>
          <w:sz w:val="20"/>
        </w:rPr>
        <w:t>2</w:t>
      </w:r>
      <w:r w:rsidRPr="00DD6EF7">
        <w:rPr>
          <w:rFonts w:ascii="Arial" w:hAnsi="Arial" w:cs="Arial"/>
          <w:b w:val="0"/>
          <w:sz w:val="20"/>
        </w:rPr>
        <w:t>.</w:t>
      </w:r>
      <w:r w:rsidR="00DD6EF7">
        <w:rPr>
          <w:rFonts w:ascii="Arial" w:hAnsi="Arial" w:cs="Arial"/>
          <w:b w:val="0"/>
          <w:sz w:val="20"/>
        </w:rPr>
        <w:t>9</w:t>
      </w:r>
      <w:r w:rsidRPr="00DD6EF7">
        <w:rPr>
          <w:rFonts w:ascii="Arial" w:hAnsi="Arial" w:cs="Arial"/>
          <w:b w:val="0"/>
          <w:sz w:val="20"/>
        </w:rPr>
        <w:t xml:space="preserve">% </w:t>
      </w:r>
      <w:r w:rsidR="000B79D8" w:rsidRPr="00DD6EF7">
        <w:rPr>
          <w:rFonts w:ascii="Arial" w:hAnsi="Arial" w:cs="Arial"/>
          <w:b w:val="0"/>
          <w:sz w:val="20"/>
        </w:rPr>
        <w:t>in Q</w:t>
      </w:r>
      <w:r w:rsidR="00DD6EF7">
        <w:rPr>
          <w:rFonts w:ascii="Arial" w:hAnsi="Arial" w:cs="Arial"/>
          <w:b w:val="0"/>
          <w:sz w:val="20"/>
        </w:rPr>
        <w:t>3</w:t>
      </w:r>
      <w:r w:rsidR="00F73327" w:rsidRPr="00DD6EF7">
        <w:rPr>
          <w:rFonts w:ascii="Arial" w:hAnsi="Arial" w:cs="Arial"/>
          <w:b w:val="0"/>
          <w:sz w:val="20"/>
        </w:rPr>
        <w:t>.</w:t>
      </w:r>
      <w:r w:rsidR="000B79D8" w:rsidRPr="00DD6EF7">
        <w:rPr>
          <w:rFonts w:ascii="Arial" w:hAnsi="Arial" w:cs="Arial"/>
          <w:b w:val="0"/>
          <w:sz w:val="20"/>
        </w:rPr>
        <w:t xml:space="preserve"> </w:t>
      </w:r>
    </w:p>
    <w:p w:rsidR="00DD6EF7" w:rsidRDefault="00DD6EF7" w:rsidP="00A1207F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A1207F" w:rsidRDefault="00A1207F" w:rsidP="00A1207F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114FA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14FA5">
        <w:rPr>
          <w:rFonts w:ascii="Arial" w:hAnsi="Arial" w:cs="Arial"/>
          <w:b w:val="0"/>
          <w:sz w:val="20"/>
        </w:rPr>
        <w:t>'</w:t>
      </w:r>
      <w:r w:rsidRPr="00114FA5">
        <w:rPr>
          <w:rFonts w:ascii="Arial" w:hAnsi="Arial" w:cs="Arial"/>
          <w:sz w:val="20"/>
        </w:rPr>
        <w:t>transport</w:t>
      </w:r>
      <w:r w:rsidRPr="00114FA5">
        <w:rPr>
          <w:rFonts w:ascii="Arial" w:hAnsi="Arial" w:cs="Arial"/>
          <w:b w:val="0"/>
          <w:sz w:val="20"/>
        </w:rPr>
        <w:t>', the</w:t>
      </w:r>
      <w:r w:rsidR="00DD6EF7">
        <w:rPr>
          <w:rFonts w:ascii="Arial" w:hAnsi="Arial" w:cs="Arial"/>
          <w:b w:val="0"/>
          <w:sz w:val="20"/>
        </w:rPr>
        <w:t xml:space="preserve"> price</w:t>
      </w:r>
      <w:r w:rsidRPr="00114FA5">
        <w:rPr>
          <w:rFonts w:ascii="Arial" w:hAnsi="Arial" w:cs="Arial"/>
          <w:b w:val="0"/>
          <w:sz w:val="20"/>
        </w:rPr>
        <w:t xml:space="preserve"> </w:t>
      </w:r>
      <w:r w:rsidR="00DD6EF7">
        <w:rPr>
          <w:rFonts w:ascii="Arial" w:hAnsi="Arial" w:cs="Arial"/>
          <w:b w:val="0"/>
          <w:sz w:val="20"/>
        </w:rPr>
        <w:t xml:space="preserve">development in Q4 was especially due to the drop in fuel prices (-6.0%) and an increase in prices of new cars by 3.7% in December. </w:t>
      </w:r>
      <w:r w:rsidRPr="00114FA5">
        <w:rPr>
          <w:rFonts w:ascii="Arial" w:hAnsi="Arial" w:cs="Arial"/>
          <w:b w:val="0"/>
          <w:bCs w:val="0"/>
          <w:sz w:val="20"/>
          <w:szCs w:val="20"/>
        </w:rPr>
        <w:t>The development of fuel consumption prices in relation to the prices of industrial producers and the import prices of oil products is shown in the following chart.</w:t>
      </w:r>
      <w:r w:rsidRPr="004E73E5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A1207F" w:rsidRDefault="00A1207F" w:rsidP="00A94B8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83106C" w:rsidRPr="005D53B9" w:rsidRDefault="009C584F" w:rsidP="00EE0608">
      <w:pPr>
        <w:pStyle w:val="Zkladntextodsazen2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  <w:r w:rsidRPr="009C584F">
        <w:rPr>
          <w:szCs w:val="20"/>
        </w:rPr>
        <w:lastRenderedPageBreak/>
        <w:pict>
          <v:shape id="_x0000_i1032" type="#_x0000_t75" style="width:425.25pt;height:267.75pt">
            <v:imagedata r:id="rId11" o:title=""/>
          </v:shape>
        </w:pict>
      </w:r>
    </w:p>
    <w:p w:rsidR="00EE0608" w:rsidRPr="005D53B9" w:rsidRDefault="00EE0608" w:rsidP="00EE0608">
      <w:pPr>
        <w:pStyle w:val="Zkladntextodsazen2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197013" w:rsidRDefault="00197013" w:rsidP="00197013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027243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027243">
        <w:rPr>
          <w:rFonts w:ascii="Arial" w:hAnsi="Arial" w:cs="Arial"/>
          <w:b w:val="0"/>
          <w:sz w:val="20"/>
        </w:rPr>
        <w:t>'</w:t>
      </w:r>
      <w:r w:rsidRPr="00027243">
        <w:rPr>
          <w:rFonts w:ascii="Arial" w:hAnsi="Arial" w:cs="Arial"/>
          <w:sz w:val="20"/>
        </w:rPr>
        <w:t>recreation and culture</w:t>
      </w:r>
      <w:r w:rsidRPr="00027243">
        <w:rPr>
          <w:rFonts w:ascii="Arial" w:hAnsi="Arial" w:cs="Arial"/>
          <w:b w:val="0"/>
          <w:sz w:val="20"/>
        </w:rPr>
        <w:t xml:space="preserve">', </w:t>
      </w:r>
      <w:r w:rsidR="00027243">
        <w:rPr>
          <w:rFonts w:ascii="Arial" w:hAnsi="Arial" w:cs="Arial"/>
          <w:b w:val="0"/>
          <w:sz w:val="20"/>
        </w:rPr>
        <w:t xml:space="preserve">the </w:t>
      </w:r>
      <w:r w:rsidR="00120471">
        <w:rPr>
          <w:rFonts w:ascii="Arial" w:hAnsi="Arial" w:cs="Arial"/>
          <w:b w:val="0"/>
          <w:sz w:val="20"/>
        </w:rPr>
        <w:t>fall</w:t>
      </w:r>
      <w:r w:rsidR="00027243">
        <w:rPr>
          <w:rFonts w:ascii="Arial" w:hAnsi="Arial" w:cs="Arial"/>
          <w:b w:val="0"/>
          <w:sz w:val="20"/>
        </w:rPr>
        <w:t xml:space="preserve"> in Q4 came </w:t>
      </w:r>
      <w:r w:rsidR="005D10B9">
        <w:rPr>
          <w:rFonts w:ascii="Arial" w:hAnsi="Arial" w:cs="Arial"/>
          <w:b w:val="0"/>
          <w:sz w:val="20"/>
        </w:rPr>
        <w:t>from a deeper de</w:t>
      </w:r>
      <w:r w:rsidR="00120471">
        <w:rPr>
          <w:rFonts w:ascii="Arial" w:hAnsi="Arial" w:cs="Arial"/>
          <w:b w:val="0"/>
          <w:sz w:val="20"/>
        </w:rPr>
        <w:t>cline</w:t>
      </w:r>
      <w:r w:rsidR="005D10B9">
        <w:rPr>
          <w:rFonts w:ascii="Arial" w:hAnsi="Arial" w:cs="Arial"/>
          <w:b w:val="0"/>
          <w:sz w:val="20"/>
        </w:rPr>
        <w:t xml:space="preserve"> in prices of </w:t>
      </w:r>
      <w:r w:rsidR="005B7EA2" w:rsidRPr="00027243">
        <w:rPr>
          <w:rFonts w:ascii="Arial" w:hAnsi="Arial"/>
          <w:b w:val="0"/>
          <w:sz w:val="20"/>
          <w:szCs w:val="20"/>
        </w:rPr>
        <w:t>equipment for the reception, recording and reproduction of sound and pictures</w:t>
      </w:r>
      <w:r w:rsidR="005B7EA2">
        <w:rPr>
          <w:rFonts w:ascii="Arial" w:hAnsi="Arial"/>
          <w:b w:val="0"/>
          <w:sz w:val="20"/>
          <w:szCs w:val="20"/>
        </w:rPr>
        <w:t xml:space="preserve"> (-10.1% from -8.2% in Q3)</w:t>
      </w:r>
      <w:r w:rsidR="00120471">
        <w:rPr>
          <w:rFonts w:ascii="Arial" w:hAnsi="Arial"/>
          <w:b w:val="0"/>
          <w:sz w:val="20"/>
          <w:szCs w:val="20"/>
        </w:rPr>
        <w:t xml:space="preserve"> in particular</w:t>
      </w:r>
      <w:r w:rsidR="005B7EA2">
        <w:rPr>
          <w:rFonts w:ascii="Arial" w:hAnsi="Arial"/>
          <w:b w:val="0"/>
          <w:sz w:val="20"/>
          <w:szCs w:val="20"/>
        </w:rPr>
        <w:t>. Prices</w:t>
      </w:r>
      <w:r w:rsidRPr="00027243">
        <w:rPr>
          <w:rFonts w:ascii="Arial" w:hAnsi="Arial" w:cs="Arial"/>
          <w:b w:val="0"/>
          <w:sz w:val="20"/>
        </w:rPr>
        <w:t xml:space="preserve"> of package holidays </w:t>
      </w:r>
      <w:r w:rsidR="005B7EA2">
        <w:rPr>
          <w:rFonts w:ascii="Arial" w:hAnsi="Arial" w:cs="Arial"/>
          <w:b w:val="0"/>
          <w:sz w:val="20"/>
        </w:rPr>
        <w:t xml:space="preserve">were higher by 3.5% (4.0% in Q3). </w:t>
      </w:r>
    </w:p>
    <w:p w:rsidR="00120471" w:rsidRPr="00027243" w:rsidRDefault="00120471" w:rsidP="00197013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197013" w:rsidRDefault="00E769A0" w:rsidP="0017718A">
      <w:pPr>
        <w:pStyle w:val="Zkladntextodsazen2"/>
        <w:spacing w:line="276" w:lineRule="auto"/>
        <w:ind w:firstLine="0"/>
        <w:rPr>
          <w:rFonts w:ascii="Arial" w:hAnsi="Arial"/>
          <w:b w:val="0"/>
          <w:sz w:val="20"/>
          <w:szCs w:val="20"/>
        </w:rPr>
      </w:pPr>
      <w:r w:rsidRPr="00027243">
        <w:rPr>
          <w:rFonts w:ascii="Arial" w:hAnsi="Arial"/>
          <w:b w:val="0"/>
          <w:sz w:val="20"/>
          <w:szCs w:val="20"/>
        </w:rPr>
        <w:t xml:space="preserve">The </w:t>
      </w:r>
      <w:r w:rsidRPr="00027243">
        <w:rPr>
          <w:rFonts w:ascii="Arial" w:hAnsi="Arial"/>
          <w:sz w:val="20"/>
          <w:szCs w:val="20"/>
        </w:rPr>
        <w:t>y-o-y drop</w:t>
      </w:r>
      <w:r w:rsidRPr="00027243">
        <w:rPr>
          <w:rFonts w:ascii="Arial" w:hAnsi="Arial"/>
          <w:b w:val="0"/>
          <w:sz w:val="20"/>
          <w:szCs w:val="20"/>
        </w:rPr>
        <w:t xml:space="preserve"> in p</w:t>
      </w:r>
      <w:r w:rsidR="00197013" w:rsidRPr="00027243">
        <w:rPr>
          <w:rFonts w:ascii="Arial" w:hAnsi="Arial"/>
          <w:b w:val="0"/>
          <w:sz w:val="20"/>
          <w:szCs w:val="20"/>
        </w:rPr>
        <w:t xml:space="preserve">rices </w:t>
      </w:r>
      <w:r w:rsidRPr="00027243">
        <w:rPr>
          <w:rFonts w:ascii="Arial" w:hAnsi="Arial"/>
          <w:b w:val="0"/>
          <w:sz w:val="20"/>
          <w:szCs w:val="20"/>
        </w:rPr>
        <w:t>continued</w:t>
      </w:r>
      <w:r w:rsidR="00F471FC">
        <w:rPr>
          <w:rFonts w:ascii="Arial" w:hAnsi="Arial"/>
          <w:b w:val="0"/>
          <w:sz w:val="20"/>
          <w:szCs w:val="20"/>
        </w:rPr>
        <w:t xml:space="preserve"> </w:t>
      </w:r>
      <w:r w:rsidR="00641541" w:rsidRPr="00027243">
        <w:rPr>
          <w:rFonts w:ascii="Arial" w:hAnsi="Arial"/>
          <w:b w:val="0"/>
          <w:sz w:val="20"/>
          <w:szCs w:val="20"/>
        </w:rPr>
        <w:t>at household appliances in</w:t>
      </w:r>
      <w:r w:rsidR="00353F5A">
        <w:rPr>
          <w:rFonts w:ascii="Arial" w:hAnsi="Arial"/>
          <w:b w:val="0"/>
          <w:sz w:val="20"/>
          <w:szCs w:val="20"/>
        </w:rPr>
        <w:t xml:space="preserve"> </w:t>
      </w:r>
      <w:r w:rsidR="00353F5A" w:rsidRPr="00353F5A">
        <w:rPr>
          <w:rFonts w:ascii="Arial" w:hAnsi="Arial" w:cs="Arial"/>
          <w:b w:val="0"/>
          <w:sz w:val="20"/>
        </w:rPr>
        <w:t>'</w:t>
      </w:r>
      <w:r w:rsidR="00353F5A">
        <w:rPr>
          <w:rFonts w:ascii="Arial" w:hAnsi="Arial" w:cs="Arial"/>
          <w:b w:val="0"/>
          <w:sz w:val="20"/>
        </w:rPr>
        <w:t>furnishings, household equipment and routine household maintenance</w:t>
      </w:r>
      <w:r w:rsidR="00353F5A" w:rsidRPr="00353F5A">
        <w:rPr>
          <w:rFonts w:ascii="Arial" w:hAnsi="Arial" w:cs="Arial"/>
          <w:b w:val="0"/>
          <w:sz w:val="20"/>
        </w:rPr>
        <w:t>'</w:t>
      </w:r>
      <w:r w:rsidR="00381E08">
        <w:rPr>
          <w:rFonts w:ascii="Arial" w:hAnsi="Arial"/>
          <w:b w:val="0"/>
          <w:sz w:val="20"/>
          <w:szCs w:val="20"/>
        </w:rPr>
        <w:t xml:space="preserve">, </w:t>
      </w:r>
      <w:r w:rsidR="00381E08" w:rsidRPr="00C364B0">
        <w:rPr>
          <w:rFonts w:ascii="Arial" w:hAnsi="Arial" w:cs="Arial"/>
          <w:b w:val="0"/>
          <w:sz w:val="20"/>
          <w:szCs w:val="20"/>
        </w:rPr>
        <w:t>albeit slightly slower</w:t>
      </w:r>
      <w:r w:rsidR="00641541" w:rsidRPr="00027243">
        <w:rPr>
          <w:rFonts w:ascii="Arial" w:hAnsi="Arial"/>
          <w:b w:val="0"/>
          <w:sz w:val="20"/>
          <w:szCs w:val="20"/>
        </w:rPr>
        <w:t>.</w:t>
      </w:r>
    </w:p>
    <w:p w:rsidR="005C11CA" w:rsidRPr="00E769A0" w:rsidRDefault="005C11CA" w:rsidP="0017718A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283829" w:rsidRDefault="008B448D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 w:rsidRPr="00E769A0">
        <w:rPr>
          <w:rFonts w:ascii="Arial" w:hAnsi="Arial"/>
          <w:sz w:val="20"/>
          <w:szCs w:val="20"/>
        </w:rPr>
        <w:t>P</w:t>
      </w:r>
      <w:r w:rsidR="00283829" w:rsidRPr="00E769A0">
        <w:rPr>
          <w:rFonts w:ascii="Arial" w:hAnsi="Arial"/>
          <w:sz w:val="20"/>
          <w:szCs w:val="20"/>
        </w:rPr>
        <w:t xml:space="preserve">rices of </w:t>
      </w:r>
      <w:r w:rsidR="00283829" w:rsidRPr="00E769A0">
        <w:rPr>
          <w:rFonts w:ascii="Arial" w:hAnsi="Arial"/>
          <w:b/>
          <w:sz w:val="20"/>
          <w:szCs w:val="20"/>
        </w:rPr>
        <w:t>goods in total</w:t>
      </w:r>
      <w:r w:rsidR="00283829" w:rsidRPr="00E769A0">
        <w:rPr>
          <w:rFonts w:ascii="Arial" w:hAnsi="Arial"/>
          <w:sz w:val="20"/>
          <w:szCs w:val="20"/>
        </w:rPr>
        <w:t xml:space="preserve"> </w:t>
      </w:r>
      <w:r w:rsidR="006676A5">
        <w:rPr>
          <w:rFonts w:ascii="Arial" w:hAnsi="Arial"/>
          <w:sz w:val="20"/>
          <w:szCs w:val="20"/>
        </w:rPr>
        <w:t>turn</w:t>
      </w:r>
      <w:r w:rsidRPr="00E769A0">
        <w:rPr>
          <w:rFonts w:ascii="Arial" w:hAnsi="Arial"/>
          <w:sz w:val="20"/>
          <w:szCs w:val="20"/>
        </w:rPr>
        <w:t>ed from 0.</w:t>
      </w:r>
      <w:r w:rsidR="00AB6AC3">
        <w:rPr>
          <w:rFonts w:ascii="Arial" w:hAnsi="Arial"/>
          <w:sz w:val="20"/>
          <w:szCs w:val="20"/>
        </w:rPr>
        <w:t>3</w:t>
      </w:r>
      <w:r w:rsidRPr="00E769A0">
        <w:rPr>
          <w:rFonts w:ascii="Arial" w:hAnsi="Arial"/>
          <w:sz w:val="20"/>
          <w:szCs w:val="20"/>
        </w:rPr>
        <w:t>%</w:t>
      </w:r>
      <w:r w:rsidR="00AB6AC3">
        <w:rPr>
          <w:rFonts w:ascii="Arial" w:hAnsi="Arial"/>
          <w:sz w:val="20"/>
          <w:szCs w:val="20"/>
        </w:rPr>
        <w:t xml:space="preserve"> growth</w:t>
      </w:r>
      <w:r w:rsidRPr="00E769A0">
        <w:rPr>
          <w:rFonts w:ascii="Arial" w:hAnsi="Arial"/>
          <w:sz w:val="20"/>
          <w:szCs w:val="20"/>
        </w:rPr>
        <w:t xml:space="preserve"> in Q</w:t>
      </w:r>
      <w:r w:rsidR="00AB6AC3">
        <w:rPr>
          <w:rFonts w:ascii="Arial" w:hAnsi="Arial"/>
          <w:sz w:val="20"/>
          <w:szCs w:val="20"/>
        </w:rPr>
        <w:t>3</w:t>
      </w:r>
      <w:r w:rsidRPr="00E769A0">
        <w:rPr>
          <w:rFonts w:ascii="Arial" w:hAnsi="Arial"/>
          <w:sz w:val="20"/>
          <w:szCs w:val="20"/>
        </w:rPr>
        <w:t xml:space="preserve"> to</w:t>
      </w:r>
      <w:r w:rsidR="00AB6AC3">
        <w:rPr>
          <w:rFonts w:ascii="Arial" w:hAnsi="Arial"/>
          <w:sz w:val="20"/>
          <w:szCs w:val="20"/>
        </w:rPr>
        <w:t xml:space="preserve"> the drop (-0.1%) </w:t>
      </w:r>
      <w:r w:rsidRPr="00E769A0">
        <w:rPr>
          <w:rFonts w:ascii="Arial" w:hAnsi="Arial"/>
          <w:sz w:val="20"/>
          <w:szCs w:val="20"/>
        </w:rPr>
        <w:t>in Q</w:t>
      </w:r>
      <w:r w:rsidR="00AB6AC3">
        <w:rPr>
          <w:rFonts w:ascii="Arial" w:hAnsi="Arial"/>
          <w:sz w:val="20"/>
          <w:szCs w:val="20"/>
        </w:rPr>
        <w:t>4</w:t>
      </w:r>
      <w:r w:rsidR="00E974F1" w:rsidRPr="00E769A0">
        <w:rPr>
          <w:rFonts w:ascii="Arial" w:hAnsi="Arial"/>
          <w:sz w:val="20"/>
          <w:szCs w:val="20"/>
        </w:rPr>
        <w:t xml:space="preserve"> 2014</w:t>
      </w:r>
      <w:r w:rsidR="00981F23" w:rsidRPr="00E769A0">
        <w:rPr>
          <w:rFonts w:ascii="Arial" w:hAnsi="Arial"/>
          <w:sz w:val="20"/>
          <w:szCs w:val="20"/>
        </w:rPr>
        <w:t>;</w:t>
      </w:r>
      <w:r w:rsidRPr="00E769A0">
        <w:rPr>
          <w:rFonts w:ascii="Arial" w:hAnsi="Arial"/>
          <w:sz w:val="20"/>
          <w:szCs w:val="20"/>
        </w:rPr>
        <w:t xml:space="preserve"> prices of </w:t>
      </w:r>
      <w:r w:rsidR="00283829" w:rsidRPr="00E769A0">
        <w:rPr>
          <w:rFonts w:ascii="Arial" w:hAnsi="Arial"/>
          <w:b/>
          <w:sz w:val="20"/>
          <w:szCs w:val="20"/>
        </w:rPr>
        <w:t>services</w:t>
      </w:r>
      <w:r w:rsidR="00283829" w:rsidRPr="00E769A0">
        <w:rPr>
          <w:rFonts w:ascii="Arial" w:hAnsi="Arial"/>
          <w:b/>
          <w:bCs/>
          <w:sz w:val="20"/>
          <w:szCs w:val="20"/>
        </w:rPr>
        <w:t xml:space="preserve"> </w:t>
      </w:r>
      <w:r w:rsidRPr="00E769A0">
        <w:rPr>
          <w:rFonts w:ascii="Arial" w:hAnsi="Arial"/>
          <w:bCs/>
          <w:sz w:val="20"/>
          <w:szCs w:val="20"/>
        </w:rPr>
        <w:t>acc</w:t>
      </w:r>
      <w:r w:rsidR="00283829" w:rsidRPr="00E769A0">
        <w:rPr>
          <w:rFonts w:ascii="Arial" w:hAnsi="Arial"/>
          <w:bCs/>
          <w:sz w:val="20"/>
          <w:szCs w:val="20"/>
        </w:rPr>
        <w:t>elerated</w:t>
      </w:r>
      <w:r w:rsidR="00283829" w:rsidRPr="00E769A0">
        <w:rPr>
          <w:rFonts w:ascii="Arial" w:hAnsi="Arial"/>
          <w:b/>
          <w:bCs/>
          <w:sz w:val="20"/>
          <w:szCs w:val="20"/>
        </w:rPr>
        <w:t xml:space="preserve"> </w:t>
      </w:r>
      <w:r w:rsidR="00283829" w:rsidRPr="00E769A0">
        <w:rPr>
          <w:rFonts w:ascii="Arial" w:hAnsi="Arial"/>
          <w:bCs/>
          <w:sz w:val="20"/>
          <w:szCs w:val="20"/>
        </w:rPr>
        <w:t xml:space="preserve">to </w:t>
      </w:r>
      <w:r w:rsidR="008366F5">
        <w:rPr>
          <w:rFonts w:ascii="Arial" w:hAnsi="Arial"/>
          <w:bCs/>
          <w:sz w:val="20"/>
          <w:szCs w:val="20"/>
        </w:rPr>
        <w:t>1</w:t>
      </w:r>
      <w:r w:rsidR="00283829" w:rsidRPr="00E769A0">
        <w:rPr>
          <w:rFonts w:ascii="Arial" w:hAnsi="Arial"/>
          <w:bCs/>
          <w:sz w:val="20"/>
          <w:szCs w:val="20"/>
        </w:rPr>
        <w:t>.</w:t>
      </w:r>
      <w:r w:rsidR="00AB6AC3">
        <w:rPr>
          <w:rFonts w:ascii="Arial" w:hAnsi="Arial"/>
          <w:bCs/>
          <w:sz w:val="20"/>
          <w:szCs w:val="20"/>
        </w:rPr>
        <w:t>2</w:t>
      </w:r>
      <w:r w:rsidR="00283829" w:rsidRPr="00E769A0">
        <w:rPr>
          <w:rFonts w:ascii="Arial" w:hAnsi="Arial"/>
          <w:bCs/>
          <w:sz w:val="20"/>
          <w:szCs w:val="20"/>
        </w:rPr>
        <w:t xml:space="preserve">% </w:t>
      </w:r>
      <w:r w:rsidR="00DB37B8" w:rsidRPr="00E769A0">
        <w:rPr>
          <w:rFonts w:ascii="Arial" w:hAnsi="Arial"/>
          <w:bCs/>
          <w:sz w:val="20"/>
          <w:szCs w:val="20"/>
        </w:rPr>
        <w:t>in Q</w:t>
      </w:r>
      <w:r w:rsidR="00AB6AC3">
        <w:rPr>
          <w:rFonts w:ascii="Arial" w:hAnsi="Arial"/>
          <w:bCs/>
          <w:sz w:val="20"/>
          <w:szCs w:val="20"/>
        </w:rPr>
        <w:t>4</w:t>
      </w:r>
      <w:r w:rsidR="00562896">
        <w:rPr>
          <w:rFonts w:ascii="Arial" w:hAnsi="Arial"/>
          <w:bCs/>
          <w:sz w:val="20"/>
          <w:szCs w:val="20"/>
        </w:rPr>
        <w:t xml:space="preserve"> from the </w:t>
      </w:r>
      <w:r w:rsidR="00AB6AC3">
        <w:rPr>
          <w:rFonts w:ascii="Arial" w:hAnsi="Arial"/>
          <w:bCs/>
          <w:sz w:val="20"/>
          <w:szCs w:val="20"/>
        </w:rPr>
        <w:t>1</w:t>
      </w:r>
      <w:r w:rsidR="00562896">
        <w:rPr>
          <w:rFonts w:ascii="Arial" w:hAnsi="Arial"/>
          <w:bCs/>
          <w:sz w:val="20"/>
          <w:szCs w:val="20"/>
        </w:rPr>
        <w:t>.</w:t>
      </w:r>
      <w:r w:rsidR="00AB6AC3">
        <w:rPr>
          <w:rFonts w:ascii="Arial" w:hAnsi="Arial"/>
          <w:bCs/>
          <w:sz w:val="20"/>
          <w:szCs w:val="20"/>
        </w:rPr>
        <w:t>1</w:t>
      </w:r>
      <w:r w:rsidR="00562896">
        <w:rPr>
          <w:rFonts w:ascii="Arial" w:hAnsi="Arial"/>
          <w:bCs/>
          <w:sz w:val="20"/>
          <w:szCs w:val="20"/>
        </w:rPr>
        <w:t>% growth in Q</w:t>
      </w:r>
      <w:r w:rsidR="007505D5">
        <w:rPr>
          <w:rFonts w:ascii="Arial" w:hAnsi="Arial"/>
          <w:bCs/>
          <w:sz w:val="20"/>
          <w:szCs w:val="20"/>
        </w:rPr>
        <w:t>3</w:t>
      </w:r>
      <w:r w:rsidR="00562896">
        <w:rPr>
          <w:rFonts w:ascii="Arial" w:hAnsi="Arial"/>
          <w:bCs/>
          <w:sz w:val="20"/>
          <w:szCs w:val="20"/>
        </w:rPr>
        <w:t xml:space="preserve"> </w:t>
      </w:r>
      <w:r w:rsidR="00DB37B8" w:rsidRPr="00E769A0">
        <w:rPr>
          <w:rFonts w:ascii="Arial" w:hAnsi="Arial"/>
          <w:bCs/>
          <w:sz w:val="20"/>
          <w:szCs w:val="20"/>
        </w:rPr>
        <w:t>2014</w:t>
      </w:r>
      <w:r w:rsidR="00981F23" w:rsidRPr="00E769A0">
        <w:rPr>
          <w:rFonts w:ascii="Arial" w:hAnsi="Arial"/>
          <w:bCs/>
          <w:sz w:val="20"/>
          <w:szCs w:val="20"/>
        </w:rPr>
        <w:t>.</w:t>
      </w:r>
      <w:r w:rsidR="00DB37B8" w:rsidRPr="00E769A0">
        <w:rPr>
          <w:rFonts w:ascii="Arial" w:hAnsi="Arial"/>
          <w:bCs/>
          <w:sz w:val="20"/>
          <w:szCs w:val="20"/>
        </w:rPr>
        <w:t xml:space="preserve"> </w:t>
      </w:r>
    </w:p>
    <w:p w:rsidR="00EE0608" w:rsidRPr="005D53B9" w:rsidRDefault="009C584F" w:rsidP="00EE0608">
      <w:pPr>
        <w:pStyle w:val="Zkladntext"/>
        <w:rPr>
          <w:rFonts w:ascii="Arial" w:hAnsi="Arial"/>
          <w:sz w:val="20"/>
          <w:highlight w:val="green"/>
        </w:rPr>
      </w:pPr>
      <w:r>
        <w:lastRenderedPageBreak/>
        <w:pict>
          <v:shape id="_x0000_i1029" type="#_x0000_t75" style="width:424.5pt;height:240pt">
            <v:imagedata r:id="rId12" o:title=""/>
          </v:shape>
        </w:pict>
      </w:r>
    </w:p>
    <w:p w:rsidR="00930B09" w:rsidRDefault="00930B09" w:rsidP="00AB3BD7">
      <w:pPr>
        <w:pStyle w:val="Nadpis3"/>
        <w:spacing w:before="0"/>
        <w:rPr>
          <w:rFonts w:cs="Arial"/>
          <w:lang w:val="en-GB"/>
        </w:rPr>
      </w:pPr>
    </w:p>
    <w:p w:rsidR="00930B09" w:rsidRDefault="00930B09" w:rsidP="00AB3BD7">
      <w:pPr>
        <w:pStyle w:val="Nadpis3"/>
        <w:spacing w:before="0"/>
        <w:rPr>
          <w:rFonts w:cs="Arial"/>
          <w:lang w:val="en-GB"/>
        </w:rPr>
      </w:pPr>
    </w:p>
    <w:p w:rsidR="00EE0608" w:rsidRDefault="00EE0608" w:rsidP="00AB3BD7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t>Harmonized index of consumer prices in the EU28</w:t>
      </w:r>
    </w:p>
    <w:p w:rsidR="00EE0608" w:rsidRDefault="00EE0608" w:rsidP="00AB3BD7">
      <w:pPr>
        <w:rPr>
          <w:rFonts w:cs="Arial"/>
          <w:szCs w:val="20"/>
        </w:rPr>
      </w:pPr>
      <w:r w:rsidRPr="00A92350">
        <w:rPr>
          <w:rFonts w:cs="Arial"/>
          <w:szCs w:val="20"/>
        </w:rPr>
        <w:t xml:space="preserve">According to </w:t>
      </w:r>
      <w:proofErr w:type="spellStart"/>
      <w:r w:rsidRPr="00A92350">
        <w:rPr>
          <w:rFonts w:cs="Arial"/>
          <w:szCs w:val="20"/>
        </w:rPr>
        <w:t>Eurostat</w:t>
      </w:r>
      <w:proofErr w:type="spellEnd"/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data,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the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y-o-y increase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in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the average </w:t>
      </w:r>
      <w:r w:rsidRPr="00A92350">
        <w:rPr>
          <w:rFonts w:cs="Arial"/>
          <w:bCs/>
          <w:szCs w:val="20"/>
        </w:rPr>
        <w:t>harmonized index of consumer prices</w:t>
      </w:r>
      <w:r w:rsidRPr="00A92350">
        <w:rPr>
          <w:rFonts w:cs="Arial"/>
          <w:szCs w:val="20"/>
        </w:rPr>
        <w:t xml:space="preserve"> (HICP) in the EU28 </w:t>
      </w:r>
      <w:r w:rsidRPr="002C5209">
        <w:rPr>
          <w:rFonts w:cs="Arial"/>
          <w:szCs w:val="20"/>
        </w:rPr>
        <w:t xml:space="preserve">was </w:t>
      </w:r>
      <w:r w:rsidR="00283829" w:rsidRPr="002C5209">
        <w:rPr>
          <w:rFonts w:cs="Arial"/>
          <w:szCs w:val="20"/>
        </w:rPr>
        <w:t>0</w:t>
      </w:r>
      <w:r w:rsidRPr="002C5209">
        <w:rPr>
          <w:rFonts w:cs="Arial"/>
          <w:szCs w:val="20"/>
        </w:rPr>
        <w:t>.</w:t>
      </w:r>
      <w:r w:rsidR="00A92350" w:rsidRPr="002C5209">
        <w:rPr>
          <w:rFonts w:cs="Arial"/>
          <w:szCs w:val="20"/>
        </w:rPr>
        <w:t>5</w:t>
      </w:r>
      <w:r w:rsidRPr="002C5209">
        <w:rPr>
          <w:rFonts w:cs="Arial"/>
          <w:szCs w:val="20"/>
        </w:rPr>
        <w:t xml:space="preserve">% in </w:t>
      </w:r>
      <w:r w:rsidR="00A128D6" w:rsidRPr="002C5209">
        <w:rPr>
          <w:rFonts w:cs="Arial"/>
          <w:szCs w:val="20"/>
        </w:rPr>
        <w:t>October</w:t>
      </w:r>
      <w:r w:rsidRPr="002C5209">
        <w:rPr>
          <w:rFonts w:cs="Arial"/>
          <w:szCs w:val="20"/>
        </w:rPr>
        <w:t xml:space="preserve"> and</w:t>
      </w:r>
      <w:r w:rsidR="00A128D6" w:rsidRPr="002C5209">
        <w:rPr>
          <w:rFonts w:cs="Arial"/>
          <w:szCs w:val="20"/>
        </w:rPr>
        <w:t xml:space="preserve"> 0.4%</w:t>
      </w:r>
      <w:r w:rsidRPr="002C5209">
        <w:rPr>
          <w:rFonts w:cs="Arial"/>
          <w:szCs w:val="20"/>
        </w:rPr>
        <w:t xml:space="preserve"> </w:t>
      </w:r>
      <w:r w:rsidR="00A128D6" w:rsidRPr="002C5209">
        <w:rPr>
          <w:rFonts w:cs="Arial"/>
          <w:szCs w:val="20"/>
        </w:rPr>
        <w:t>in November</w:t>
      </w:r>
      <w:r w:rsidRPr="00A92350">
        <w:rPr>
          <w:rFonts w:cs="Arial"/>
          <w:bCs/>
          <w:szCs w:val="20"/>
        </w:rPr>
        <w:t>.</w:t>
      </w:r>
      <w:r w:rsidRPr="00A92350">
        <w:rPr>
          <w:rFonts w:cs="Arial"/>
          <w:szCs w:val="20"/>
        </w:rPr>
        <w:t xml:space="preserve"> In the Czech Republic (CR), the y-o-y change of the HICP</w:t>
      </w:r>
      <w:r w:rsidR="003A6F6A">
        <w:rPr>
          <w:rFonts w:cs="Arial"/>
          <w:szCs w:val="20"/>
        </w:rPr>
        <w:t xml:space="preserve"> </w:t>
      </w:r>
      <w:r w:rsidRPr="00A92350">
        <w:rPr>
          <w:rFonts w:cs="Arial"/>
          <w:szCs w:val="20"/>
        </w:rPr>
        <w:t xml:space="preserve">was </w:t>
      </w:r>
      <w:r w:rsidR="00BC648E" w:rsidRPr="00890C1C">
        <w:rPr>
          <w:rFonts w:cs="Arial"/>
          <w:szCs w:val="20"/>
        </w:rPr>
        <w:t>0</w:t>
      </w:r>
      <w:r w:rsidRPr="00890C1C">
        <w:rPr>
          <w:rFonts w:cs="Arial"/>
          <w:szCs w:val="20"/>
        </w:rPr>
        <w:t>.</w:t>
      </w:r>
      <w:r w:rsidR="00F42BBF">
        <w:rPr>
          <w:rFonts w:cs="Arial"/>
          <w:szCs w:val="20"/>
        </w:rPr>
        <w:t>7</w:t>
      </w:r>
      <w:r w:rsidR="00D8268A" w:rsidRPr="00890C1C">
        <w:rPr>
          <w:rFonts w:cs="Arial"/>
          <w:szCs w:val="20"/>
        </w:rPr>
        <w:t>%</w:t>
      </w:r>
      <w:r w:rsidR="00DB37B8" w:rsidRPr="00890C1C">
        <w:rPr>
          <w:rFonts w:cs="Arial"/>
          <w:szCs w:val="20"/>
        </w:rPr>
        <w:t xml:space="preserve"> and 0.</w:t>
      </w:r>
      <w:r w:rsidR="00F42BBF">
        <w:rPr>
          <w:rFonts w:cs="Arial"/>
          <w:szCs w:val="20"/>
        </w:rPr>
        <w:t>6</w:t>
      </w:r>
      <w:r w:rsidR="00DB37B8" w:rsidRPr="00890C1C">
        <w:rPr>
          <w:rFonts w:cs="Arial"/>
          <w:szCs w:val="20"/>
        </w:rPr>
        <w:t>%, respectively</w:t>
      </w:r>
      <w:r w:rsidR="003A6F6A">
        <w:rPr>
          <w:rFonts w:cs="Arial"/>
          <w:szCs w:val="20"/>
        </w:rPr>
        <w:t xml:space="preserve"> in these months</w:t>
      </w:r>
      <w:r w:rsidRPr="00890C1C">
        <w:rPr>
          <w:rFonts w:cs="Arial"/>
          <w:szCs w:val="20"/>
        </w:rPr>
        <w:t xml:space="preserve">. According to preliminary data, the HICP </w:t>
      </w:r>
      <w:r w:rsidR="00F42BBF">
        <w:rPr>
          <w:rFonts w:cs="Arial"/>
          <w:szCs w:val="20"/>
        </w:rPr>
        <w:t>change</w:t>
      </w:r>
      <w:r w:rsidRPr="00890C1C">
        <w:rPr>
          <w:rFonts w:cs="Arial"/>
          <w:szCs w:val="20"/>
        </w:rPr>
        <w:t xml:space="preserve"> in the CR </w:t>
      </w:r>
      <w:r w:rsidR="00D8268A" w:rsidRPr="00890C1C">
        <w:rPr>
          <w:rFonts w:cs="Arial"/>
          <w:szCs w:val="20"/>
        </w:rPr>
        <w:t>amounted to 0.</w:t>
      </w:r>
      <w:r w:rsidR="00F42BBF">
        <w:rPr>
          <w:rFonts w:cs="Arial"/>
          <w:szCs w:val="20"/>
        </w:rPr>
        <w:t>1</w:t>
      </w:r>
      <w:r w:rsidR="00D8268A" w:rsidRPr="00890C1C">
        <w:rPr>
          <w:rFonts w:cs="Arial"/>
          <w:szCs w:val="20"/>
        </w:rPr>
        <w:t>%</w:t>
      </w:r>
      <w:r w:rsidRPr="00890C1C">
        <w:rPr>
          <w:rFonts w:cs="Arial"/>
          <w:szCs w:val="20"/>
        </w:rPr>
        <w:t xml:space="preserve"> </w:t>
      </w:r>
      <w:r w:rsidRPr="002C5209">
        <w:rPr>
          <w:rFonts w:cs="Arial"/>
          <w:szCs w:val="20"/>
        </w:rPr>
        <w:t xml:space="preserve">in </w:t>
      </w:r>
      <w:r w:rsidR="00F42BBF" w:rsidRPr="002C5209">
        <w:rPr>
          <w:rFonts w:cs="Arial"/>
          <w:szCs w:val="20"/>
        </w:rPr>
        <w:t>December</w:t>
      </w:r>
      <w:r w:rsidRPr="00A92350">
        <w:rPr>
          <w:rFonts w:cs="Arial"/>
          <w:szCs w:val="20"/>
        </w:rPr>
        <w:t xml:space="preserve">. It can be seen in the chart below that the </w:t>
      </w:r>
      <w:r w:rsidR="00C44E7E" w:rsidRPr="00A92350">
        <w:rPr>
          <w:rFonts w:cs="Arial"/>
          <w:szCs w:val="20"/>
        </w:rPr>
        <w:t xml:space="preserve">gradual decrease in the </w:t>
      </w:r>
      <w:r w:rsidRPr="00A92350">
        <w:rPr>
          <w:rFonts w:cs="Arial"/>
          <w:szCs w:val="20"/>
        </w:rPr>
        <w:t xml:space="preserve">y-o-y </w:t>
      </w:r>
      <w:r w:rsidR="00B10A19" w:rsidRPr="00A92350">
        <w:rPr>
          <w:rFonts w:cs="Arial"/>
          <w:szCs w:val="20"/>
        </w:rPr>
        <w:t xml:space="preserve">inflation </w:t>
      </w:r>
      <w:r w:rsidR="00AF6530" w:rsidRPr="00A92350">
        <w:rPr>
          <w:rFonts w:cs="Arial"/>
          <w:szCs w:val="20"/>
        </w:rPr>
        <w:t>occurred</w:t>
      </w:r>
      <w:r w:rsidR="00C44E7E" w:rsidRPr="00A92350">
        <w:rPr>
          <w:rFonts w:cs="Arial"/>
          <w:szCs w:val="20"/>
        </w:rPr>
        <w:t xml:space="preserve"> also in the EU. </w:t>
      </w:r>
      <w:r w:rsidR="00F37A72" w:rsidRPr="00A92350">
        <w:rPr>
          <w:rFonts w:cs="Arial"/>
          <w:szCs w:val="20"/>
        </w:rPr>
        <w:t xml:space="preserve">The </w:t>
      </w:r>
      <w:r w:rsidRPr="00A92350">
        <w:rPr>
          <w:rFonts w:cs="Arial"/>
          <w:szCs w:val="20"/>
        </w:rPr>
        <w:t xml:space="preserve">HICP in the CR was </w:t>
      </w:r>
      <w:r w:rsidR="00C902E8">
        <w:rPr>
          <w:rFonts w:cs="Arial"/>
          <w:szCs w:val="20"/>
        </w:rPr>
        <w:t xml:space="preserve">often </w:t>
      </w:r>
      <w:r w:rsidR="002C5209">
        <w:rPr>
          <w:rFonts w:cs="Arial"/>
          <w:szCs w:val="20"/>
        </w:rPr>
        <w:t>simila</w:t>
      </w:r>
      <w:r w:rsidRPr="00A92350">
        <w:rPr>
          <w:rFonts w:cs="Arial"/>
          <w:szCs w:val="20"/>
        </w:rPr>
        <w:t>r</w:t>
      </w:r>
      <w:r w:rsidR="00F37A72" w:rsidRPr="00A92350">
        <w:rPr>
          <w:rFonts w:cs="Arial"/>
          <w:szCs w:val="20"/>
        </w:rPr>
        <w:t xml:space="preserve"> y-o-y</w:t>
      </w:r>
      <w:r w:rsidRPr="00A92350">
        <w:rPr>
          <w:rFonts w:cs="Arial"/>
          <w:szCs w:val="20"/>
        </w:rPr>
        <w:t xml:space="preserve"> </w:t>
      </w:r>
      <w:r w:rsidR="002C5209">
        <w:rPr>
          <w:rFonts w:cs="Arial"/>
          <w:szCs w:val="20"/>
        </w:rPr>
        <w:t>compared with</w:t>
      </w:r>
      <w:r w:rsidRPr="00A92350">
        <w:rPr>
          <w:rFonts w:cs="Arial"/>
          <w:szCs w:val="20"/>
        </w:rPr>
        <w:t xml:space="preserve"> the average HICP in the EU28 member states</w:t>
      </w:r>
      <w:r w:rsidR="00E33C1A">
        <w:rPr>
          <w:rFonts w:cs="Arial"/>
          <w:szCs w:val="20"/>
        </w:rPr>
        <w:t>.</w:t>
      </w:r>
      <w:r w:rsidR="002C5209">
        <w:rPr>
          <w:rFonts w:cs="Arial"/>
          <w:szCs w:val="20"/>
        </w:rPr>
        <w:t xml:space="preserve"> </w:t>
      </w:r>
      <w:r w:rsidR="00283B79" w:rsidRPr="00A92350">
        <w:rPr>
          <w:rFonts w:cs="Arial"/>
          <w:szCs w:val="20"/>
        </w:rPr>
        <w:t xml:space="preserve">Nevertheless, </w:t>
      </w:r>
      <w:r w:rsidR="00CD62A2">
        <w:rPr>
          <w:rFonts w:cs="Arial"/>
          <w:szCs w:val="20"/>
        </w:rPr>
        <w:t>since the beginning of the year 2014</w:t>
      </w:r>
      <w:r w:rsidR="00F37A72" w:rsidRPr="00A92350">
        <w:rPr>
          <w:rFonts w:cs="Arial"/>
          <w:szCs w:val="20"/>
        </w:rPr>
        <w:t>, the increase in the HICP</w:t>
      </w:r>
      <w:r w:rsidR="007D4095" w:rsidRPr="00A92350">
        <w:rPr>
          <w:rFonts w:cs="Arial"/>
          <w:szCs w:val="20"/>
        </w:rPr>
        <w:t xml:space="preserve"> in the CR</w:t>
      </w:r>
      <w:r w:rsidR="00F37A72" w:rsidRPr="00A92350">
        <w:rPr>
          <w:rFonts w:cs="Arial"/>
          <w:szCs w:val="20"/>
        </w:rPr>
        <w:t xml:space="preserve"> re</w:t>
      </w:r>
      <w:r w:rsidR="004230E7" w:rsidRPr="00A92350">
        <w:rPr>
          <w:rFonts w:cs="Arial"/>
          <w:szCs w:val="20"/>
        </w:rPr>
        <w:t>co</w:t>
      </w:r>
      <w:r w:rsidR="00F37A72" w:rsidRPr="00A92350">
        <w:rPr>
          <w:rFonts w:cs="Arial"/>
          <w:szCs w:val="20"/>
        </w:rPr>
        <w:t>r</w:t>
      </w:r>
      <w:r w:rsidR="004230E7" w:rsidRPr="00A92350">
        <w:rPr>
          <w:rFonts w:cs="Arial"/>
          <w:szCs w:val="20"/>
        </w:rPr>
        <w:t>d</w:t>
      </w:r>
      <w:r w:rsidR="00F37A72" w:rsidRPr="00A92350">
        <w:rPr>
          <w:rFonts w:cs="Arial"/>
          <w:szCs w:val="20"/>
        </w:rPr>
        <w:t xml:space="preserve">ed a more </w:t>
      </w:r>
      <w:r w:rsidR="007D4095" w:rsidRPr="00A92350">
        <w:rPr>
          <w:rFonts w:cs="Arial"/>
          <w:szCs w:val="20"/>
        </w:rPr>
        <w:t>substantial drop than the rise in the HICP</w:t>
      </w:r>
      <w:r w:rsidR="006676A5">
        <w:rPr>
          <w:rFonts w:cs="Arial"/>
          <w:szCs w:val="20"/>
        </w:rPr>
        <w:t xml:space="preserve"> in the</w:t>
      </w:r>
      <w:r w:rsidR="007D4095" w:rsidRPr="00A92350">
        <w:rPr>
          <w:rFonts w:cs="Arial"/>
          <w:szCs w:val="20"/>
        </w:rPr>
        <w:t xml:space="preserve"> EU28.</w:t>
      </w:r>
      <w:r w:rsidRPr="00F37A72">
        <w:rPr>
          <w:rFonts w:cs="Arial"/>
          <w:szCs w:val="20"/>
        </w:rPr>
        <w:t xml:space="preserve"> </w:t>
      </w:r>
      <w:r w:rsidR="00CD62A2">
        <w:rPr>
          <w:rFonts w:cs="Arial"/>
          <w:szCs w:val="20"/>
        </w:rPr>
        <w:t>This trend stopped</w:t>
      </w:r>
      <w:r w:rsidR="00002DE0">
        <w:rPr>
          <w:rFonts w:cs="Arial"/>
          <w:szCs w:val="20"/>
        </w:rPr>
        <w:t>,</w:t>
      </w:r>
      <w:r w:rsidR="00CD62A2">
        <w:rPr>
          <w:rFonts w:cs="Arial"/>
          <w:szCs w:val="20"/>
        </w:rPr>
        <w:t xml:space="preserve"> however</w:t>
      </w:r>
      <w:r w:rsidR="00002DE0">
        <w:rPr>
          <w:rFonts w:cs="Arial"/>
          <w:szCs w:val="20"/>
        </w:rPr>
        <w:t>,</w:t>
      </w:r>
      <w:r w:rsidR="00CD62A2">
        <w:rPr>
          <w:rFonts w:cs="Arial"/>
          <w:szCs w:val="20"/>
        </w:rPr>
        <w:t xml:space="preserve"> in Q3</w:t>
      </w:r>
      <w:r w:rsidR="00E33C1A">
        <w:rPr>
          <w:rFonts w:cs="Arial"/>
          <w:szCs w:val="20"/>
        </w:rPr>
        <w:t xml:space="preserve"> and partially </w:t>
      </w:r>
      <w:r w:rsidR="003C54C7">
        <w:rPr>
          <w:rFonts w:cs="Arial"/>
          <w:szCs w:val="20"/>
        </w:rPr>
        <w:t xml:space="preserve">also </w:t>
      </w:r>
      <w:r w:rsidR="00E33C1A">
        <w:rPr>
          <w:rFonts w:cs="Arial"/>
          <w:szCs w:val="20"/>
        </w:rPr>
        <w:t>in Q4</w:t>
      </w:r>
      <w:r w:rsidR="00CD62A2">
        <w:rPr>
          <w:rFonts w:cs="Arial"/>
          <w:szCs w:val="20"/>
        </w:rPr>
        <w:t>.</w:t>
      </w:r>
    </w:p>
    <w:p w:rsidR="00EE0608" w:rsidRPr="005D53B9" w:rsidRDefault="009C584F" w:rsidP="00EE0608">
      <w:pPr>
        <w:rPr>
          <w:highlight w:val="green"/>
        </w:rPr>
      </w:pPr>
      <w:r>
        <w:lastRenderedPageBreak/>
        <w:pict>
          <v:shape id="_x0000_i1030" type="#_x0000_t75" style="width:405.75pt;height:262.5pt">
            <v:imagedata r:id="rId13" o:title=""/>
          </v:shape>
        </w:pict>
      </w:r>
    </w:p>
    <w:p w:rsidR="002C6F6E" w:rsidRPr="00F33560" w:rsidRDefault="002C6F6E" w:rsidP="002C6F6E">
      <w:pPr>
        <w:pStyle w:val="Zkladntextodsazen3"/>
        <w:rPr>
          <w:rFonts w:cs="Arial"/>
          <w:szCs w:val="20"/>
          <w:highlight w:val="green"/>
        </w:rPr>
      </w:pPr>
    </w:p>
    <w:p w:rsidR="008E1C72" w:rsidRPr="00F33560" w:rsidRDefault="008E1C72" w:rsidP="008E1C72">
      <w:pPr>
        <w:rPr>
          <w:rFonts w:cs="Arial"/>
          <w:szCs w:val="20"/>
        </w:rPr>
      </w:pPr>
      <w:r w:rsidRPr="005A7A55">
        <w:rPr>
          <w:rFonts w:cs="Arial"/>
          <w:szCs w:val="20"/>
        </w:rPr>
        <w:t>The</w:t>
      </w:r>
      <w:r w:rsidRPr="005A7A55">
        <w:rPr>
          <w:rFonts w:cs="Arial"/>
          <w:b/>
          <w:szCs w:val="20"/>
        </w:rPr>
        <w:t xml:space="preserve"> average inflation rate </w:t>
      </w:r>
      <w:r w:rsidRPr="00E33C1A">
        <w:rPr>
          <w:rFonts w:cs="Arial"/>
          <w:szCs w:val="20"/>
        </w:rPr>
        <w:t>in 201</w:t>
      </w:r>
      <w:r w:rsidR="00E33C1A">
        <w:rPr>
          <w:rFonts w:cs="Arial"/>
          <w:szCs w:val="20"/>
        </w:rPr>
        <w:t>4</w:t>
      </w:r>
      <w:r w:rsidRPr="00E33C1A">
        <w:rPr>
          <w:rFonts w:cs="Arial"/>
          <w:szCs w:val="20"/>
        </w:rPr>
        <w:t xml:space="preserve"> </w:t>
      </w:r>
      <w:r w:rsidRPr="005A7A55">
        <w:rPr>
          <w:rFonts w:cs="Arial"/>
          <w:szCs w:val="20"/>
        </w:rPr>
        <w:t xml:space="preserve">reached </w:t>
      </w:r>
      <w:r w:rsidR="00E30D74">
        <w:rPr>
          <w:rFonts w:cs="Arial"/>
          <w:szCs w:val="20"/>
        </w:rPr>
        <w:t>0</w:t>
      </w:r>
      <w:r w:rsidRPr="005A7A55">
        <w:rPr>
          <w:rFonts w:cs="Arial"/>
          <w:szCs w:val="20"/>
        </w:rPr>
        <w:t>.</w:t>
      </w:r>
      <w:r>
        <w:rPr>
          <w:rFonts w:cs="Arial"/>
          <w:szCs w:val="20"/>
        </w:rPr>
        <w:t>4</w:t>
      </w:r>
      <w:r w:rsidRPr="005A7A55">
        <w:rPr>
          <w:rFonts w:cs="Arial"/>
          <w:szCs w:val="20"/>
        </w:rPr>
        <w:t xml:space="preserve">%, which was a value by </w:t>
      </w:r>
      <w:r>
        <w:rPr>
          <w:rFonts w:cs="Arial"/>
          <w:szCs w:val="20"/>
        </w:rPr>
        <w:t>1</w:t>
      </w:r>
      <w:r w:rsidRPr="005A7A55">
        <w:rPr>
          <w:rFonts w:cs="Arial"/>
          <w:szCs w:val="20"/>
        </w:rPr>
        <w:t>.</w:t>
      </w:r>
      <w:r w:rsidR="00E30D74">
        <w:rPr>
          <w:rFonts w:cs="Arial"/>
          <w:szCs w:val="20"/>
        </w:rPr>
        <w:t>0</w:t>
      </w:r>
      <w:r w:rsidRPr="005A7A55">
        <w:rPr>
          <w:rFonts w:cs="Arial"/>
          <w:szCs w:val="20"/>
        </w:rPr>
        <w:t xml:space="preserve"> percentage point </w:t>
      </w:r>
      <w:r>
        <w:rPr>
          <w:rFonts w:cs="Arial"/>
          <w:szCs w:val="20"/>
        </w:rPr>
        <w:t xml:space="preserve">less </w:t>
      </w:r>
      <w:r w:rsidRPr="005A7A55">
        <w:rPr>
          <w:rFonts w:cs="Arial"/>
          <w:szCs w:val="20"/>
        </w:rPr>
        <w:t>than in 201</w:t>
      </w:r>
      <w:r w:rsidR="00E30D74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and the least since 200</w:t>
      </w:r>
      <w:r w:rsidR="00E30D74">
        <w:rPr>
          <w:rFonts w:cs="Arial"/>
          <w:szCs w:val="20"/>
        </w:rPr>
        <w:t>3</w:t>
      </w:r>
      <w:r w:rsidRPr="005A7A55">
        <w:rPr>
          <w:rFonts w:cs="Arial"/>
          <w:szCs w:val="20"/>
        </w:rPr>
        <w:t xml:space="preserve">. </w:t>
      </w:r>
      <w:r w:rsidRPr="00E90A34">
        <w:rPr>
          <w:rFonts w:cs="Arial"/>
          <w:szCs w:val="20"/>
        </w:rPr>
        <w:t>Inflation rate in 201</w:t>
      </w:r>
      <w:r w:rsidR="00E30D74">
        <w:rPr>
          <w:rFonts w:cs="Arial"/>
          <w:szCs w:val="20"/>
        </w:rPr>
        <w:t>4</w:t>
      </w:r>
      <w:r w:rsidRPr="00E90A3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was</w:t>
      </w:r>
      <w:r w:rsidR="00E30D74">
        <w:rPr>
          <w:rFonts w:cs="Arial"/>
          <w:szCs w:val="20"/>
        </w:rPr>
        <w:t xml:space="preserve"> primarily</w:t>
      </w:r>
      <w:r>
        <w:rPr>
          <w:rFonts w:cs="Arial"/>
          <w:szCs w:val="20"/>
        </w:rPr>
        <w:t xml:space="preserve"> </w:t>
      </w:r>
      <w:r w:rsidRPr="00E90A34">
        <w:rPr>
          <w:rFonts w:cs="Arial"/>
          <w:szCs w:val="20"/>
        </w:rPr>
        <w:t xml:space="preserve">influenced </w:t>
      </w:r>
      <w:r>
        <w:rPr>
          <w:rFonts w:cs="Arial"/>
          <w:szCs w:val="20"/>
        </w:rPr>
        <w:t xml:space="preserve">by </w:t>
      </w:r>
      <w:r w:rsidRPr="00E90A34">
        <w:rPr>
          <w:rFonts w:cs="Arial"/>
          <w:szCs w:val="20"/>
        </w:rPr>
        <w:t>the month of January</w:t>
      </w:r>
      <w:r>
        <w:rPr>
          <w:rFonts w:cs="Arial"/>
          <w:szCs w:val="20"/>
        </w:rPr>
        <w:t xml:space="preserve">, in which consumer prices rose </w:t>
      </w:r>
      <w:r w:rsidR="00E30D74">
        <w:rPr>
          <w:rFonts w:cs="Arial"/>
          <w:szCs w:val="20"/>
        </w:rPr>
        <w:t xml:space="preserve">only </w:t>
      </w:r>
      <w:r>
        <w:rPr>
          <w:rFonts w:cs="Arial"/>
          <w:szCs w:val="20"/>
        </w:rPr>
        <w:t xml:space="preserve">by </w:t>
      </w:r>
      <w:r w:rsidR="00E30D74">
        <w:rPr>
          <w:rFonts w:cs="Arial"/>
          <w:szCs w:val="20"/>
        </w:rPr>
        <w:t>0</w:t>
      </w:r>
      <w:r>
        <w:rPr>
          <w:rFonts w:cs="Arial"/>
          <w:szCs w:val="20"/>
        </w:rPr>
        <w:t>.</w:t>
      </w:r>
      <w:r w:rsidR="00E30D74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%, m-o-m, which was </w:t>
      </w:r>
      <w:r w:rsidR="00E30D74">
        <w:rPr>
          <w:rFonts w:cs="Arial"/>
          <w:szCs w:val="20"/>
        </w:rPr>
        <w:t>the lowest increase in January since 1993.</w:t>
      </w:r>
      <w:r>
        <w:rPr>
          <w:rFonts w:cs="Arial"/>
          <w:szCs w:val="20"/>
        </w:rPr>
        <w:t xml:space="preserve"> This led to a slowdown in the y-o-y growth of prices in January 201</w:t>
      </w:r>
      <w:r w:rsidR="00360CFF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to </w:t>
      </w:r>
      <w:r w:rsidR="00360CFF">
        <w:rPr>
          <w:rFonts w:cs="Arial"/>
          <w:szCs w:val="20"/>
        </w:rPr>
        <w:t>0</w:t>
      </w:r>
      <w:r>
        <w:rPr>
          <w:rFonts w:cs="Arial"/>
          <w:szCs w:val="20"/>
        </w:rPr>
        <w:t>.</w:t>
      </w:r>
      <w:r w:rsidR="00360CFF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% from the value of </w:t>
      </w:r>
      <w:r w:rsidR="00360CFF">
        <w:rPr>
          <w:rFonts w:cs="Arial"/>
          <w:szCs w:val="20"/>
        </w:rPr>
        <w:t>1</w:t>
      </w:r>
      <w:r>
        <w:rPr>
          <w:rFonts w:cs="Arial"/>
          <w:szCs w:val="20"/>
        </w:rPr>
        <w:t>.4% in December 201</w:t>
      </w:r>
      <w:r w:rsidR="00360CFF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. The slowdown </w:t>
      </w:r>
      <w:r w:rsidR="00360CFF">
        <w:rPr>
          <w:rFonts w:cs="Arial"/>
          <w:szCs w:val="20"/>
        </w:rPr>
        <w:t>came from a decrease in prices in</w:t>
      </w:r>
      <w:r w:rsidR="002A2D8C">
        <w:rPr>
          <w:rFonts w:cs="Arial"/>
          <w:szCs w:val="20"/>
        </w:rPr>
        <w:t xml:space="preserve"> </w:t>
      </w:r>
      <w:r w:rsidR="002A2D8C" w:rsidRPr="00C74759">
        <w:rPr>
          <w:rFonts w:cs="Arial"/>
        </w:rPr>
        <w:t xml:space="preserve">'housing, water, electricity, gas and other fuels' </w:t>
      </w:r>
      <w:r w:rsidR="002A2D8C">
        <w:rPr>
          <w:rFonts w:cs="Arial"/>
        </w:rPr>
        <w:t xml:space="preserve">and </w:t>
      </w:r>
      <w:r w:rsidR="002A2D8C" w:rsidRPr="00C74759">
        <w:rPr>
          <w:rFonts w:cs="Arial"/>
        </w:rPr>
        <w:t>'h</w:t>
      </w:r>
      <w:r w:rsidR="002A2D8C">
        <w:rPr>
          <w:rFonts w:cs="Arial"/>
        </w:rPr>
        <w:t>ealth</w:t>
      </w:r>
      <w:r w:rsidR="002A2D8C" w:rsidRPr="00C74759">
        <w:rPr>
          <w:rFonts w:cs="Arial"/>
        </w:rPr>
        <w:t xml:space="preserve">' </w:t>
      </w:r>
      <w:r w:rsidR="002A2D8C">
        <w:rPr>
          <w:rFonts w:cs="Arial"/>
        </w:rPr>
        <w:t xml:space="preserve">due to a drop in prices of electricity and </w:t>
      </w:r>
      <w:r w:rsidR="002B54B1">
        <w:rPr>
          <w:rFonts w:cs="Arial"/>
          <w:szCs w:val="20"/>
        </w:rPr>
        <w:t xml:space="preserve">the abolition of the regulatory fee for a stay in hospital. </w:t>
      </w:r>
      <w:r w:rsidR="00E507F8">
        <w:rPr>
          <w:rFonts w:cs="Arial"/>
          <w:szCs w:val="20"/>
        </w:rPr>
        <w:t>A slowdown in t</w:t>
      </w:r>
      <w:r>
        <w:rPr>
          <w:rFonts w:cs="Arial"/>
          <w:szCs w:val="20"/>
        </w:rPr>
        <w:t xml:space="preserve">he </w:t>
      </w:r>
      <w:r w:rsidR="00386136">
        <w:rPr>
          <w:rFonts w:cs="Arial"/>
          <w:szCs w:val="20"/>
        </w:rPr>
        <w:t>price</w:t>
      </w:r>
      <w:r>
        <w:rPr>
          <w:rFonts w:cs="Arial"/>
          <w:szCs w:val="20"/>
        </w:rPr>
        <w:t xml:space="preserve"> growth </w:t>
      </w:r>
      <w:r w:rsidR="00386136">
        <w:rPr>
          <w:rFonts w:cs="Arial"/>
          <w:szCs w:val="20"/>
        </w:rPr>
        <w:t>occurred</w:t>
      </w:r>
      <w:r w:rsidR="00CB4E14">
        <w:rPr>
          <w:rFonts w:cs="Arial"/>
          <w:szCs w:val="20"/>
        </w:rPr>
        <w:t>,</w:t>
      </w:r>
      <w:r w:rsidR="00386136">
        <w:rPr>
          <w:rFonts w:cs="Arial"/>
          <w:szCs w:val="20"/>
        </w:rPr>
        <w:t xml:space="preserve"> in</w:t>
      </w:r>
      <w:r>
        <w:t xml:space="preserve"> a different extent, </w:t>
      </w:r>
      <w:r w:rsidRPr="00CB4E14">
        <w:t xml:space="preserve">in almost all divisions of the consumer basket. </w:t>
      </w:r>
      <w:r w:rsidR="00F14EE9">
        <w:t>A l</w:t>
      </w:r>
      <w:r w:rsidR="001B708F">
        <w:t xml:space="preserve">ow </w:t>
      </w:r>
      <w:r w:rsidR="00F14EE9">
        <w:t>overall y-o-y price growth (in range 0.0% to 0.4%) w</w:t>
      </w:r>
      <w:r w:rsidR="005565E7">
        <w:t>as</w:t>
      </w:r>
      <w:r w:rsidR="00F14EE9">
        <w:t xml:space="preserve"> seen in the first half of the year 2014, a slight acceleration </w:t>
      </w:r>
      <w:r w:rsidR="00150C78">
        <w:t xml:space="preserve">(0.5% to 0.7%) </w:t>
      </w:r>
      <w:r w:rsidR="00F14EE9">
        <w:t xml:space="preserve">occurred since July 2014 with the exception of December. </w:t>
      </w:r>
    </w:p>
    <w:p w:rsidR="005C11CA" w:rsidRDefault="005C11CA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9C584F" w:rsidP="00666288">
      <w:pPr>
        <w:pStyle w:val="Zkladntextodsazen3"/>
        <w:rPr>
          <w:rFonts w:cs="Arial"/>
          <w:sz w:val="20"/>
          <w:szCs w:val="20"/>
          <w:highlight w:val="green"/>
        </w:rPr>
      </w:pPr>
      <w:r w:rsidRPr="00520B92">
        <w:rPr>
          <w:szCs w:val="20"/>
        </w:rPr>
        <w:lastRenderedPageBreak/>
        <w:pict>
          <v:shape id="_x0000_i1031" type="#_x0000_t75" style="width:378pt;height:223.5pt">
            <v:imagedata r:id="rId14" o:title=""/>
          </v:shape>
        </w:pict>
      </w:r>
    </w:p>
    <w:p w:rsidR="008E1C72" w:rsidRPr="000C42D9" w:rsidRDefault="008E1C72" w:rsidP="008E1C72">
      <w:pPr>
        <w:rPr>
          <w:rFonts w:cs="Arial"/>
          <w:szCs w:val="20"/>
        </w:rPr>
      </w:pPr>
      <w:r w:rsidRPr="000C42D9">
        <w:rPr>
          <w:rFonts w:cs="Arial"/>
          <w:szCs w:val="20"/>
        </w:rPr>
        <w:t>The influence of respective divisions of the consumer basket on the price level increase in 201</w:t>
      </w:r>
      <w:r w:rsidR="005565E7">
        <w:rPr>
          <w:rFonts w:cs="Arial"/>
          <w:szCs w:val="20"/>
        </w:rPr>
        <w:t>4</w:t>
      </w:r>
      <w:r w:rsidRPr="000C42D9">
        <w:rPr>
          <w:rFonts w:cs="Arial"/>
          <w:szCs w:val="20"/>
        </w:rPr>
        <w:t xml:space="preserve"> is illustrated in the breakdown of the total increase of the consumer price index.</w:t>
      </w:r>
    </w:p>
    <w:p w:rsidR="008E1C72" w:rsidRPr="000C42D9" w:rsidRDefault="008E1C72" w:rsidP="008E1C72">
      <w:pPr>
        <w:pStyle w:val="Zkladntextodsazen3"/>
        <w:rPr>
          <w:rFonts w:cs="Arial"/>
          <w:szCs w:val="20"/>
        </w:rPr>
      </w:pPr>
    </w:p>
    <w:p w:rsidR="008E1C72" w:rsidRPr="00691A83" w:rsidRDefault="008E1C72" w:rsidP="008E1C72">
      <w:pPr>
        <w:pStyle w:val="Zkladntextodsazen3"/>
        <w:spacing w:after="0"/>
        <w:ind w:left="0"/>
        <w:jc w:val="center"/>
        <w:rPr>
          <w:rFonts w:cs="Arial"/>
          <w:b/>
          <w:bCs/>
          <w:sz w:val="20"/>
          <w:szCs w:val="20"/>
        </w:rPr>
      </w:pPr>
      <w:r w:rsidRPr="00691A83">
        <w:rPr>
          <w:rFonts w:cs="Arial"/>
          <w:b/>
          <w:bCs/>
          <w:sz w:val="20"/>
          <w:szCs w:val="20"/>
        </w:rPr>
        <w:t>Breakdown of the y-o-y change of the consumer price index in 201</w:t>
      </w:r>
      <w:r w:rsidR="005565E7">
        <w:rPr>
          <w:rFonts w:cs="Arial"/>
          <w:b/>
          <w:bCs/>
          <w:sz w:val="20"/>
          <w:szCs w:val="20"/>
        </w:rPr>
        <w:t>4</w:t>
      </w:r>
    </w:p>
    <w:p w:rsidR="008E1C72" w:rsidRPr="00691A83" w:rsidRDefault="008E1C72" w:rsidP="008E1C72">
      <w:pPr>
        <w:pStyle w:val="Zkladntextodsazen3"/>
        <w:spacing w:after="0"/>
        <w:ind w:left="0"/>
        <w:jc w:val="center"/>
        <w:rPr>
          <w:rFonts w:cs="Arial"/>
          <w:b/>
          <w:bCs/>
          <w:sz w:val="20"/>
          <w:szCs w:val="20"/>
        </w:rPr>
      </w:pPr>
      <w:proofErr w:type="gramStart"/>
      <w:r w:rsidRPr="00691A83">
        <w:rPr>
          <w:rFonts w:cs="Arial"/>
          <w:b/>
          <w:bCs/>
          <w:sz w:val="20"/>
          <w:szCs w:val="20"/>
        </w:rPr>
        <w:t>in</w:t>
      </w:r>
      <w:proofErr w:type="gramEnd"/>
      <w:r w:rsidRPr="00691A83">
        <w:rPr>
          <w:rFonts w:cs="Arial"/>
          <w:b/>
          <w:bCs/>
          <w:sz w:val="20"/>
          <w:szCs w:val="20"/>
        </w:rPr>
        <w:t> percentage points</w:t>
      </w:r>
    </w:p>
    <w:p w:rsidR="008E1C72" w:rsidRPr="000C42D9" w:rsidRDefault="008E1C72" w:rsidP="008E1C72">
      <w:pPr>
        <w:pStyle w:val="Zkladntextodsazen3"/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19"/>
        <w:gridCol w:w="2199"/>
      </w:tblGrid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DIVISION</w:t>
            </w:r>
          </w:p>
        </w:tc>
        <w:tc>
          <w:tcPr>
            <w:tcW w:w="2199" w:type="dxa"/>
          </w:tcPr>
          <w:p w:rsidR="008E1C72" w:rsidRPr="009A3532" w:rsidRDefault="008E1C72" w:rsidP="007475EF">
            <w:pPr>
              <w:pStyle w:val="Zkladntextodsazen3"/>
              <w:rPr>
                <w:sz w:val="18"/>
                <w:szCs w:val="18"/>
              </w:rPr>
            </w:pP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TOTAL</w:t>
            </w:r>
          </w:p>
        </w:tc>
        <w:tc>
          <w:tcPr>
            <w:tcW w:w="2199" w:type="dxa"/>
            <w:vAlign w:val="bottom"/>
          </w:tcPr>
          <w:p w:rsidR="008E1C72" w:rsidRPr="009A3532" w:rsidRDefault="005565E7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1C72">
              <w:rPr>
                <w:sz w:val="18"/>
                <w:szCs w:val="18"/>
              </w:rPr>
              <w:t>.4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</w:p>
        </w:tc>
      </w:tr>
      <w:tr w:rsidR="008E1C72" w:rsidRPr="000C42D9" w:rsidTr="007475EF">
        <w:trPr>
          <w:trHeight w:hRule="exact" w:val="290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Food and non-alcoholic beverages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5565E7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565E7">
              <w:rPr>
                <w:sz w:val="18"/>
                <w:szCs w:val="18"/>
              </w:rPr>
              <w:t>3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Al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oholic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beverages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nd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acco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Clothing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 footwear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5565E7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565E7">
              <w:rPr>
                <w:sz w:val="18"/>
                <w:szCs w:val="18"/>
              </w:rPr>
              <w:t>1</w:t>
            </w:r>
          </w:p>
        </w:tc>
      </w:tr>
      <w:tr w:rsidR="008E1C72" w:rsidRPr="000C42D9" w:rsidTr="007475EF">
        <w:trPr>
          <w:trHeight w:hRule="exact" w:val="444"/>
          <w:jc w:val="center"/>
        </w:trPr>
        <w:tc>
          <w:tcPr>
            <w:tcW w:w="3719" w:type="dxa"/>
            <w:vAlign w:val="center"/>
          </w:tcPr>
          <w:p w:rsidR="008E1C72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Housing, water, electricity, gas and other  </w:t>
            </w:r>
          </w:p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fuels</w:t>
            </w:r>
          </w:p>
        </w:tc>
        <w:tc>
          <w:tcPr>
            <w:tcW w:w="2199" w:type="dxa"/>
            <w:vAlign w:val="bottom"/>
          </w:tcPr>
          <w:p w:rsidR="008E1C72" w:rsidRPr="009A3532" w:rsidRDefault="005565E7" w:rsidP="005565E7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E1C72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</w:t>
            </w:r>
          </w:p>
        </w:tc>
      </w:tr>
      <w:tr w:rsidR="008E1C72" w:rsidRPr="000C42D9" w:rsidTr="007475EF">
        <w:trPr>
          <w:trHeight w:hRule="exact" w:val="486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Furnishings, household equipment and routine household maintenance </w:t>
            </w:r>
          </w:p>
        </w:tc>
        <w:tc>
          <w:tcPr>
            <w:tcW w:w="2199" w:type="dxa"/>
            <w:vAlign w:val="center"/>
          </w:tcPr>
          <w:p w:rsidR="008E1C7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Health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5565E7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565E7">
              <w:rPr>
                <w:sz w:val="18"/>
                <w:szCs w:val="18"/>
              </w:rPr>
              <w:t>0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Transport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Communication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5565E7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</w:t>
            </w:r>
            <w:r w:rsidR="005565E7">
              <w:rPr>
                <w:sz w:val="18"/>
                <w:szCs w:val="18"/>
              </w:rPr>
              <w:t>2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tion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 c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ultur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Education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9A35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9A3532">
              <w:rPr>
                <w:sz w:val="18"/>
                <w:szCs w:val="18"/>
              </w:rPr>
              <w:t>0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Restaurants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hotels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Miscellaneous goods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ervices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9A35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9A3532">
              <w:rPr>
                <w:sz w:val="18"/>
                <w:szCs w:val="18"/>
              </w:rPr>
              <w:t>1</w:t>
            </w:r>
          </w:p>
        </w:tc>
      </w:tr>
    </w:tbl>
    <w:p w:rsidR="00627091" w:rsidRDefault="00627091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27091" w:rsidRDefault="00627091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27091" w:rsidRDefault="00627091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94BF6" w:rsidRDefault="00627091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5C1E56">
        <w:rPr>
          <w:rFonts w:cs="Arial"/>
          <w:sz w:val="20"/>
          <w:szCs w:val="20"/>
        </w:rPr>
        <w:lastRenderedPageBreak/>
        <w:t xml:space="preserve">It is clear from the table that prices in </w:t>
      </w:r>
      <w:r w:rsidRPr="005565E7">
        <w:rPr>
          <w:rFonts w:cs="Arial"/>
          <w:sz w:val="20"/>
          <w:szCs w:val="20"/>
        </w:rPr>
        <w:t>'food and non-alcoholic beverages'</w:t>
      </w:r>
      <w:r w:rsidR="00444542">
        <w:rPr>
          <w:rFonts w:cs="Arial"/>
          <w:sz w:val="20"/>
          <w:szCs w:val="20"/>
        </w:rPr>
        <w:t xml:space="preserve"> and </w:t>
      </w:r>
      <w:r w:rsidR="00444542" w:rsidRPr="005565E7">
        <w:rPr>
          <w:rFonts w:cs="Arial"/>
          <w:sz w:val="20"/>
          <w:szCs w:val="20"/>
        </w:rPr>
        <w:t>'alcoholic beverages</w:t>
      </w:r>
      <w:r w:rsidR="00444542">
        <w:rPr>
          <w:rFonts w:cs="Arial"/>
          <w:sz w:val="20"/>
          <w:szCs w:val="20"/>
        </w:rPr>
        <w:t xml:space="preserve"> and tobacco</w:t>
      </w:r>
      <w:r w:rsidR="00444542" w:rsidRPr="005565E7">
        <w:rPr>
          <w:rFonts w:cs="Arial"/>
          <w:sz w:val="20"/>
          <w:szCs w:val="20"/>
        </w:rPr>
        <w:t>'</w:t>
      </w:r>
      <w:r w:rsidRPr="005C1E56">
        <w:rPr>
          <w:rFonts w:cs="Arial"/>
          <w:sz w:val="20"/>
          <w:szCs w:val="20"/>
        </w:rPr>
        <w:t xml:space="preserve"> had the highest effect on the price level growth in 201</w:t>
      </w:r>
      <w:r w:rsidR="005565E7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.</w:t>
      </w:r>
      <w:r w:rsidR="00660E38">
        <w:rPr>
          <w:rFonts w:cs="Arial"/>
          <w:sz w:val="20"/>
          <w:szCs w:val="20"/>
        </w:rPr>
        <w:t xml:space="preserve"> On the other hand, a</w:t>
      </w:r>
      <w:r>
        <w:rPr>
          <w:rFonts w:cs="Arial"/>
          <w:sz w:val="20"/>
          <w:szCs w:val="20"/>
        </w:rPr>
        <w:t xml:space="preserve"> </w:t>
      </w:r>
      <w:r w:rsidR="00660E38">
        <w:rPr>
          <w:rFonts w:cs="Arial"/>
          <w:sz w:val="20"/>
          <w:szCs w:val="20"/>
        </w:rPr>
        <w:t xml:space="preserve">reducing effect had prices in </w:t>
      </w:r>
      <w:r w:rsidR="00660E38" w:rsidRPr="00660E38">
        <w:rPr>
          <w:rFonts w:cs="Arial"/>
          <w:sz w:val="20"/>
          <w:szCs w:val="20"/>
        </w:rPr>
        <w:t>'housing, water, electricity, gas and other fuels'</w:t>
      </w:r>
      <w:r w:rsidR="00660E38">
        <w:rPr>
          <w:rFonts w:cs="Arial"/>
          <w:sz w:val="20"/>
          <w:szCs w:val="20"/>
        </w:rPr>
        <w:t xml:space="preserve"> and </w:t>
      </w:r>
      <w:r w:rsidR="00660E38" w:rsidRPr="005C1E56">
        <w:rPr>
          <w:rFonts w:cs="Arial"/>
          <w:sz w:val="20"/>
          <w:szCs w:val="20"/>
        </w:rPr>
        <w:t>'</w:t>
      </w:r>
      <w:r w:rsidR="00660E38">
        <w:rPr>
          <w:rFonts w:cs="Arial"/>
          <w:sz w:val="20"/>
          <w:szCs w:val="20"/>
        </w:rPr>
        <w:t>communication</w:t>
      </w:r>
      <w:r w:rsidR="00660E38" w:rsidRPr="005C1E56">
        <w:rPr>
          <w:rFonts w:cs="Arial"/>
          <w:sz w:val="20"/>
          <w:szCs w:val="20"/>
        </w:rPr>
        <w:t>'</w:t>
      </w:r>
      <w:r w:rsidR="00660E38">
        <w:rPr>
          <w:rFonts w:cs="Arial"/>
          <w:sz w:val="20"/>
          <w:szCs w:val="20"/>
        </w:rPr>
        <w:t xml:space="preserve">. </w:t>
      </w:r>
    </w:p>
    <w:p w:rsidR="00794BF6" w:rsidRDefault="00794BF6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627091" w:rsidRDefault="00627091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5C1E56">
        <w:rPr>
          <w:rStyle w:val="hps"/>
          <w:rFonts w:cs="Arial"/>
          <w:sz w:val="20"/>
          <w:szCs w:val="20"/>
        </w:rPr>
        <w:t xml:space="preserve">Prices in </w:t>
      </w:r>
      <w:r w:rsidRPr="005C1E56">
        <w:rPr>
          <w:rFonts w:cs="Arial"/>
          <w:sz w:val="20"/>
          <w:szCs w:val="20"/>
        </w:rPr>
        <w:t>'food and non-alcoholic beverages'</w:t>
      </w:r>
      <w:r w:rsidRPr="005C1E56">
        <w:rPr>
          <w:rFonts w:cs="Arial"/>
          <w:b/>
          <w:sz w:val="20"/>
          <w:szCs w:val="20"/>
        </w:rPr>
        <w:t xml:space="preserve"> </w:t>
      </w:r>
      <w:r w:rsidRPr="005C1E56">
        <w:rPr>
          <w:rStyle w:val="hps"/>
          <w:rFonts w:cs="Arial"/>
          <w:sz w:val="20"/>
          <w:szCs w:val="20"/>
        </w:rPr>
        <w:t xml:space="preserve">increased by </w:t>
      </w:r>
      <w:r w:rsidR="00794BF6">
        <w:rPr>
          <w:rStyle w:val="hps"/>
          <w:rFonts w:cs="Arial"/>
          <w:sz w:val="20"/>
          <w:szCs w:val="20"/>
        </w:rPr>
        <w:t>2</w:t>
      </w:r>
      <w:r w:rsidRPr="005C1E56">
        <w:rPr>
          <w:rStyle w:val="hps"/>
          <w:rFonts w:cs="Arial"/>
          <w:sz w:val="20"/>
          <w:szCs w:val="20"/>
        </w:rPr>
        <w:t>.</w:t>
      </w:r>
      <w:r w:rsidR="00794BF6">
        <w:rPr>
          <w:rStyle w:val="hps"/>
          <w:rFonts w:cs="Arial"/>
          <w:sz w:val="20"/>
          <w:szCs w:val="20"/>
        </w:rPr>
        <w:t>0</w:t>
      </w:r>
      <w:r w:rsidRPr="005C1E56">
        <w:rPr>
          <w:rStyle w:val="hps"/>
          <w:rFonts w:cs="Arial"/>
          <w:sz w:val="20"/>
          <w:szCs w:val="20"/>
        </w:rPr>
        <w:t xml:space="preserve">% </w:t>
      </w:r>
      <w:r w:rsidR="00794BF6">
        <w:rPr>
          <w:rStyle w:val="hps"/>
          <w:rFonts w:cs="Arial"/>
          <w:sz w:val="20"/>
          <w:szCs w:val="20"/>
        </w:rPr>
        <w:t>in 2014</w:t>
      </w:r>
      <w:r w:rsidRPr="005C1E56">
        <w:rPr>
          <w:rStyle w:val="hps"/>
          <w:rFonts w:cs="Arial"/>
          <w:sz w:val="20"/>
          <w:szCs w:val="20"/>
        </w:rPr>
        <w:t xml:space="preserve"> (</w:t>
      </w:r>
      <w:r w:rsidR="00794BF6">
        <w:rPr>
          <w:rStyle w:val="hps"/>
          <w:rFonts w:cs="Arial"/>
          <w:sz w:val="20"/>
          <w:szCs w:val="20"/>
        </w:rPr>
        <w:t>4</w:t>
      </w:r>
      <w:r w:rsidRPr="005C1E56">
        <w:rPr>
          <w:rStyle w:val="hps"/>
          <w:rFonts w:cs="Arial"/>
          <w:sz w:val="20"/>
          <w:szCs w:val="20"/>
        </w:rPr>
        <w:t>.</w:t>
      </w:r>
      <w:r>
        <w:rPr>
          <w:rStyle w:val="hps"/>
          <w:rFonts w:cs="Arial"/>
          <w:sz w:val="20"/>
          <w:szCs w:val="20"/>
        </w:rPr>
        <w:t>9</w:t>
      </w:r>
      <w:r w:rsidRPr="005C1E56">
        <w:rPr>
          <w:rStyle w:val="hps"/>
          <w:rFonts w:cs="Arial"/>
          <w:sz w:val="20"/>
          <w:szCs w:val="20"/>
        </w:rPr>
        <w:t>% in 201</w:t>
      </w:r>
      <w:r w:rsidR="00794BF6">
        <w:rPr>
          <w:rStyle w:val="hps"/>
          <w:rFonts w:cs="Arial"/>
          <w:sz w:val="20"/>
          <w:szCs w:val="20"/>
        </w:rPr>
        <w:t>3</w:t>
      </w:r>
      <w:r w:rsidRPr="005C1E56">
        <w:rPr>
          <w:rStyle w:val="hps"/>
          <w:rFonts w:cs="Arial"/>
          <w:sz w:val="20"/>
          <w:szCs w:val="20"/>
        </w:rPr>
        <w:t xml:space="preserve">), of which prices of </w:t>
      </w:r>
      <w:r w:rsidR="00794BF6">
        <w:rPr>
          <w:rStyle w:val="hps"/>
          <w:rFonts w:cs="Arial"/>
          <w:sz w:val="20"/>
          <w:szCs w:val="20"/>
        </w:rPr>
        <w:t xml:space="preserve">bread and cereals by 0.4%, </w:t>
      </w:r>
      <w:r w:rsidRPr="005C1E56">
        <w:rPr>
          <w:rStyle w:val="hps"/>
          <w:rFonts w:cs="Arial"/>
          <w:sz w:val="20"/>
          <w:szCs w:val="20"/>
        </w:rPr>
        <w:t xml:space="preserve">meat by </w:t>
      </w:r>
      <w:r w:rsidR="00794BF6">
        <w:rPr>
          <w:rStyle w:val="hps"/>
          <w:rFonts w:cs="Arial"/>
          <w:sz w:val="20"/>
          <w:szCs w:val="20"/>
        </w:rPr>
        <w:t>2</w:t>
      </w:r>
      <w:r w:rsidRPr="005C1E56">
        <w:rPr>
          <w:rStyle w:val="hps"/>
          <w:rFonts w:cs="Arial"/>
          <w:sz w:val="20"/>
          <w:szCs w:val="20"/>
        </w:rPr>
        <w:t>.</w:t>
      </w:r>
      <w:r w:rsidR="00794BF6">
        <w:rPr>
          <w:rStyle w:val="hps"/>
          <w:rFonts w:cs="Arial"/>
          <w:sz w:val="20"/>
          <w:szCs w:val="20"/>
        </w:rPr>
        <w:t>5</w:t>
      </w:r>
      <w:r w:rsidRPr="005C1E56">
        <w:rPr>
          <w:rStyle w:val="hps"/>
          <w:rFonts w:cs="Arial"/>
          <w:sz w:val="20"/>
          <w:szCs w:val="20"/>
        </w:rPr>
        <w:t>%</w:t>
      </w:r>
      <w:r w:rsidRPr="005C1E56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fish</w:t>
      </w:r>
      <w:r w:rsidRPr="005C1E56">
        <w:rPr>
          <w:rFonts w:cs="Arial"/>
          <w:sz w:val="20"/>
          <w:szCs w:val="20"/>
        </w:rPr>
        <w:t xml:space="preserve"> by </w:t>
      </w:r>
      <w:r w:rsidR="00794BF6">
        <w:rPr>
          <w:rFonts w:cs="Arial"/>
          <w:sz w:val="20"/>
          <w:szCs w:val="20"/>
        </w:rPr>
        <w:t>2</w:t>
      </w:r>
      <w:r w:rsidRPr="005C1E56">
        <w:rPr>
          <w:rFonts w:cs="Arial"/>
          <w:sz w:val="20"/>
          <w:szCs w:val="20"/>
        </w:rPr>
        <w:t>.</w:t>
      </w:r>
      <w:r w:rsidR="00794BF6">
        <w:rPr>
          <w:rFonts w:cs="Arial"/>
          <w:sz w:val="20"/>
          <w:szCs w:val="20"/>
        </w:rPr>
        <w:t>2</w:t>
      </w:r>
      <w:r w:rsidRPr="005C1E56">
        <w:rPr>
          <w:rFonts w:cs="Arial"/>
          <w:sz w:val="20"/>
          <w:szCs w:val="20"/>
        </w:rPr>
        <w:t xml:space="preserve">%, </w:t>
      </w:r>
      <w:r>
        <w:rPr>
          <w:rFonts w:cs="Arial"/>
          <w:sz w:val="20"/>
          <w:szCs w:val="20"/>
        </w:rPr>
        <w:t>fruit</w:t>
      </w:r>
      <w:r w:rsidRPr="005C1E56">
        <w:rPr>
          <w:rFonts w:cs="Arial"/>
          <w:sz w:val="20"/>
          <w:szCs w:val="20"/>
        </w:rPr>
        <w:t xml:space="preserve"> by </w:t>
      </w:r>
      <w:r w:rsidR="00794BF6">
        <w:rPr>
          <w:rFonts w:cs="Arial"/>
          <w:sz w:val="20"/>
          <w:szCs w:val="20"/>
        </w:rPr>
        <w:t>0</w:t>
      </w:r>
      <w:r w:rsidRPr="005C1E56">
        <w:rPr>
          <w:rFonts w:cs="Arial"/>
          <w:sz w:val="20"/>
          <w:szCs w:val="20"/>
        </w:rPr>
        <w:t>.</w:t>
      </w:r>
      <w:r w:rsidR="00794BF6">
        <w:rPr>
          <w:rFonts w:cs="Arial"/>
          <w:sz w:val="20"/>
          <w:szCs w:val="20"/>
        </w:rPr>
        <w:t>5</w:t>
      </w:r>
      <w:r w:rsidRPr="005C1E56">
        <w:rPr>
          <w:rFonts w:cs="Arial"/>
          <w:sz w:val="20"/>
          <w:szCs w:val="20"/>
        </w:rPr>
        <w:t>%</w:t>
      </w:r>
      <w:r w:rsidR="001F5C30">
        <w:rPr>
          <w:rFonts w:cs="Arial"/>
          <w:sz w:val="20"/>
          <w:szCs w:val="20"/>
        </w:rPr>
        <w:t>.</w:t>
      </w:r>
      <w:r w:rsidRPr="005C1E56">
        <w:rPr>
          <w:rFonts w:cs="Arial"/>
          <w:sz w:val="20"/>
          <w:szCs w:val="20"/>
        </w:rPr>
        <w:t xml:space="preserve"> Prices </w:t>
      </w:r>
      <w:r>
        <w:rPr>
          <w:rFonts w:cs="Arial"/>
          <w:sz w:val="20"/>
          <w:szCs w:val="20"/>
        </w:rPr>
        <w:t xml:space="preserve">of milk rose by </w:t>
      </w:r>
      <w:r w:rsidR="001F5C30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>.</w:t>
      </w:r>
      <w:r w:rsidR="001F5C30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%, cheese by </w:t>
      </w:r>
      <w:r w:rsidR="001F5C30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</w:t>
      </w:r>
      <w:r w:rsidR="001F5C30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%, </w:t>
      </w:r>
      <w:r w:rsidR="001F5C30">
        <w:rPr>
          <w:rFonts w:cs="Arial"/>
          <w:sz w:val="20"/>
          <w:szCs w:val="20"/>
        </w:rPr>
        <w:t xml:space="preserve">yoghurts by 12.6%, </w:t>
      </w:r>
      <w:r>
        <w:rPr>
          <w:rFonts w:cs="Arial"/>
          <w:sz w:val="20"/>
          <w:szCs w:val="20"/>
        </w:rPr>
        <w:t xml:space="preserve">butter by </w:t>
      </w:r>
      <w:r w:rsidR="001F5C30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>.</w:t>
      </w:r>
      <w:r w:rsidR="001F5C30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>%</w:t>
      </w:r>
      <w:r w:rsidR="001F5C30">
        <w:rPr>
          <w:rFonts w:cs="Arial"/>
          <w:sz w:val="20"/>
          <w:szCs w:val="20"/>
        </w:rPr>
        <w:t xml:space="preserve">. Prices of </w:t>
      </w:r>
      <w:r w:rsidR="00794BF6">
        <w:rPr>
          <w:rFonts w:cs="Arial"/>
          <w:sz w:val="20"/>
          <w:szCs w:val="20"/>
        </w:rPr>
        <w:t>vegetables</w:t>
      </w:r>
      <w:r w:rsidR="00794BF6" w:rsidRPr="005C1E56">
        <w:rPr>
          <w:rFonts w:cs="Arial"/>
          <w:sz w:val="20"/>
          <w:szCs w:val="20"/>
        </w:rPr>
        <w:t xml:space="preserve"> </w:t>
      </w:r>
      <w:r w:rsidR="001F5C30">
        <w:rPr>
          <w:rFonts w:cs="Arial"/>
          <w:sz w:val="20"/>
          <w:szCs w:val="20"/>
        </w:rPr>
        <w:t>were lower (-3.7%) due to a drop in</w:t>
      </w:r>
      <w:r w:rsidR="00794BF6">
        <w:rPr>
          <w:rFonts w:cs="Arial"/>
          <w:sz w:val="20"/>
          <w:szCs w:val="20"/>
        </w:rPr>
        <w:t xml:space="preserve"> potato</w:t>
      </w:r>
      <w:r w:rsidR="001F5C30">
        <w:rPr>
          <w:rFonts w:cs="Arial"/>
          <w:sz w:val="20"/>
          <w:szCs w:val="20"/>
        </w:rPr>
        <w:t xml:space="preserve"> price</w:t>
      </w:r>
      <w:r w:rsidR="00794BF6">
        <w:rPr>
          <w:rFonts w:cs="Arial"/>
          <w:sz w:val="20"/>
          <w:szCs w:val="20"/>
        </w:rPr>
        <w:t xml:space="preserve">s </w:t>
      </w:r>
      <w:r w:rsidR="001F5C30">
        <w:rPr>
          <w:rFonts w:cs="Arial"/>
          <w:sz w:val="20"/>
          <w:szCs w:val="20"/>
        </w:rPr>
        <w:t>(-</w:t>
      </w:r>
      <w:r w:rsidR="009D7F80">
        <w:rPr>
          <w:rFonts w:cs="Arial"/>
          <w:sz w:val="20"/>
          <w:szCs w:val="20"/>
        </w:rPr>
        <w:t>23</w:t>
      </w:r>
      <w:r w:rsidR="00794BF6" w:rsidRPr="005C1E56">
        <w:rPr>
          <w:rFonts w:cs="Arial"/>
          <w:sz w:val="20"/>
          <w:szCs w:val="20"/>
        </w:rPr>
        <w:t>.</w:t>
      </w:r>
      <w:r w:rsidR="009D7F80">
        <w:rPr>
          <w:rFonts w:cs="Arial"/>
          <w:sz w:val="20"/>
          <w:szCs w:val="20"/>
        </w:rPr>
        <w:t>3</w:t>
      </w:r>
      <w:r w:rsidR="00794BF6" w:rsidRPr="005C1E56">
        <w:rPr>
          <w:rFonts w:cs="Arial"/>
          <w:sz w:val="20"/>
          <w:szCs w:val="20"/>
        </w:rPr>
        <w:t>%</w:t>
      </w:r>
      <w:r w:rsidR="009D7F80">
        <w:rPr>
          <w:rFonts w:cs="Arial"/>
          <w:sz w:val="20"/>
          <w:szCs w:val="20"/>
        </w:rPr>
        <w:t>)</w:t>
      </w:r>
      <w:r w:rsidR="00794BF6">
        <w:rPr>
          <w:rFonts w:cs="Arial"/>
          <w:sz w:val="20"/>
          <w:szCs w:val="20"/>
        </w:rPr>
        <w:t>.</w:t>
      </w:r>
      <w:r w:rsidR="009D7F80">
        <w:rPr>
          <w:rFonts w:cs="Arial"/>
          <w:sz w:val="20"/>
          <w:szCs w:val="20"/>
        </w:rPr>
        <w:t xml:space="preserve"> Prices of sugar and non-alcoholic beverages decreased (-6.9% and -1.0%</w:t>
      </w:r>
      <w:r w:rsidR="003C54C7">
        <w:rPr>
          <w:rFonts w:cs="Arial"/>
          <w:sz w:val="20"/>
          <w:szCs w:val="20"/>
        </w:rPr>
        <w:t>, respectively</w:t>
      </w:r>
      <w:r w:rsidR="009D7F80">
        <w:rPr>
          <w:rFonts w:cs="Arial"/>
          <w:sz w:val="20"/>
          <w:szCs w:val="20"/>
        </w:rPr>
        <w:t xml:space="preserve">). </w:t>
      </w:r>
    </w:p>
    <w:p w:rsidR="009D7F80" w:rsidRDefault="009D7F80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9D7F80" w:rsidRDefault="009D7F80" w:rsidP="009D7F8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Pr="0083106C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9D7F80">
        <w:rPr>
          <w:rFonts w:ascii="Arial" w:hAnsi="Arial" w:cs="Arial"/>
          <w:b w:val="0"/>
          <w:sz w:val="20"/>
        </w:rPr>
        <w:t>'alcoholic beverages and tobacco',</w:t>
      </w:r>
      <w:r w:rsidRPr="0083106C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prices of </w:t>
      </w:r>
      <w:r w:rsidR="00113E13">
        <w:rPr>
          <w:rFonts w:ascii="Arial" w:hAnsi="Arial" w:cs="Arial"/>
          <w:b w:val="0"/>
          <w:sz w:val="20"/>
        </w:rPr>
        <w:t>spirits</w:t>
      </w:r>
      <w:r>
        <w:rPr>
          <w:rFonts w:ascii="Arial" w:hAnsi="Arial" w:cs="Arial"/>
          <w:b w:val="0"/>
          <w:sz w:val="20"/>
        </w:rPr>
        <w:t xml:space="preserve"> rose by </w:t>
      </w:r>
      <w:r w:rsidR="00113E13">
        <w:rPr>
          <w:rFonts w:ascii="Arial" w:hAnsi="Arial" w:cs="Arial"/>
          <w:b w:val="0"/>
          <w:sz w:val="20"/>
        </w:rPr>
        <w:t>1</w:t>
      </w:r>
      <w:r>
        <w:rPr>
          <w:rFonts w:ascii="Arial" w:hAnsi="Arial" w:cs="Arial"/>
          <w:b w:val="0"/>
          <w:sz w:val="20"/>
        </w:rPr>
        <w:t>.</w:t>
      </w:r>
      <w:r w:rsidR="00113E13">
        <w:rPr>
          <w:rFonts w:ascii="Arial" w:hAnsi="Arial" w:cs="Arial"/>
          <w:b w:val="0"/>
          <w:sz w:val="20"/>
        </w:rPr>
        <w:t>2</w:t>
      </w:r>
      <w:r>
        <w:rPr>
          <w:rFonts w:ascii="Arial" w:hAnsi="Arial" w:cs="Arial"/>
          <w:b w:val="0"/>
          <w:sz w:val="20"/>
        </w:rPr>
        <w:t>%</w:t>
      </w:r>
      <w:r w:rsidR="00113E13">
        <w:rPr>
          <w:rFonts w:ascii="Arial" w:hAnsi="Arial" w:cs="Arial"/>
          <w:b w:val="0"/>
          <w:sz w:val="20"/>
        </w:rPr>
        <w:t xml:space="preserve">, wine by 3.4%, beer by 0.9% </w:t>
      </w:r>
      <w:r>
        <w:rPr>
          <w:rFonts w:ascii="Arial" w:hAnsi="Arial" w:cs="Arial"/>
          <w:b w:val="0"/>
          <w:sz w:val="20"/>
        </w:rPr>
        <w:t xml:space="preserve">and </w:t>
      </w:r>
      <w:r w:rsidR="00113E13">
        <w:rPr>
          <w:rFonts w:ascii="Arial" w:hAnsi="Arial" w:cs="Arial"/>
          <w:b w:val="0"/>
          <w:sz w:val="20"/>
        </w:rPr>
        <w:t xml:space="preserve">prices of </w:t>
      </w:r>
      <w:r>
        <w:rPr>
          <w:rFonts w:ascii="Arial" w:hAnsi="Arial" w:cs="Arial"/>
          <w:b w:val="0"/>
          <w:sz w:val="20"/>
        </w:rPr>
        <w:t>tobacco products by 3.</w:t>
      </w:r>
      <w:r w:rsidR="00113E13">
        <w:rPr>
          <w:rFonts w:ascii="Arial" w:hAnsi="Arial" w:cs="Arial"/>
          <w:b w:val="0"/>
          <w:sz w:val="20"/>
        </w:rPr>
        <w:t>6</w:t>
      </w:r>
      <w:r>
        <w:rPr>
          <w:rFonts w:ascii="Arial" w:hAnsi="Arial" w:cs="Arial"/>
          <w:b w:val="0"/>
          <w:sz w:val="20"/>
        </w:rPr>
        <w:t>% (due to the increase in the excise tax since January 201</w:t>
      </w:r>
      <w:r w:rsidR="00113E13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 xml:space="preserve">). </w:t>
      </w:r>
    </w:p>
    <w:p w:rsidR="00627091" w:rsidRPr="005C1E56" w:rsidRDefault="00627091" w:rsidP="00627091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</w:p>
    <w:p w:rsidR="00627091" w:rsidRDefault="00627091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5453AD">
        <w:rPr>
          <w:rFonts w:cs="Arial"/>
          <w:sz w:val="20"/>
          <w:szCs w:val="20"/>
        </w:rPr>
        <w:t xml:space="preserve">The </w:t>
      </w:r>
      <w:r w:rsidR="0049517D">
        <w:rPr>
          <w:rFonts w:cs="Arial"/>
          <w:sz w:val="20"/>
          <w:szCs w:val="20"/>
        </w:rPr>
        <w:t xml:space="preserve">reduction in the y-o-y price growth </w:t>
      </w:r>
      <w:r w:rsidR="00B3341A">
        <w:rPr>
          <w:rFonts w:cs="Arial"/>
          <w:sz w:val="20"/>
          <w:szCs w:val="20"/>
        </w:rPr>
        <w:t xml:space="preserve">came from the price drop in </w:t>
      </w:r>
      <w:r w:rsidRPr="00B3341A">
        <w:rPr>
          <w:rFonts w:cs="Arial"/>
          <w:sz w:val="20"/>
          <w:szCs w:val="20"/>
        </w:rPr>
        <w:t>'housing, water, electricity, gas and other fuels'</w:t>
      </w:r>
      <w:r w:rsidR="00B3341A">
        <w:rPr>
          <w:rFonts w:cs="Arial"/>
          <w:sz w:val="20"/>
          <w:szCs w:val="20"/>
        </w:rPr>
        <w:t xml:space="preserve"> due to electricity prices and natural gas (</w:t>
      </w:r>
      <w:r w:rsidR="000437DB">
        <w:rPr>
          <w:rFonts w:cs="Arial"/>
          <w:sz w:val="20"/>
          <w:szCs w:val="20"/>
        </w:rPr>
        <w:t>-</w:t>
      </w:r>
      <w:r w:rsidR="00B3341A">
        <w:rPr>
          <w:rFonts w:cs="Arial"/>
          <w:sz w:val="20"/>
          <w:szCs w:val="20"/>
        </w:rPr>
        <w:t xml:space="preserve">10.3% and </w:t>
      </w:r>
      <w:r w:rsidR="000437DB">
        <w:rPr>
          <w:rFonts w:cs="Arial"/>
          <w:sz w:val="20"/>
          <w:szCs w:val="20"/>
        </w:rPr>
        <w:t>-</w:t>
      </w:r>
      <w:r w:rsidR="00B3341A">
        <w:rPr>
          <w:rFonts w:cs="Arial"/>
          <w:sz w:val="20"/>
          <w:szCs w:val="20"/>
        </w:rPr>
        <w:t xml:space="preserve">2.6%, respectively). 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Prices of net actual rentals </w:t>
      </w:r>
      <w:r w:rsidR="00B3341A">
        <w:rPr>
          <w:rFonts w:cs="Arial"/>
          <w:sz w:val="20"/>
          <w:szCs w:val="20"/>
        </w:rPr>
        <w:t>rose</w:t>
      </w:r>
      <w:r>
        <w:rPr>
          <w:rFonts w:cs="Arial"/>
          <w:sz w:val="20"/>
          <w:szCs w:val="20"/>
        </w:rPr>
        <w:t xml:space="preserve"> by </w:t>
      </w:r>
      <w:r w:rsidR="00B3341A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.</w:t>
      </w:r>
      <w:r w:rsidR="00B3341A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%</w:t>
      </w:r>
      <w:r w:rsidR="00A22117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water supply by </w:t>
      </w:r>
      <w:r w:rsidR="00A22117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>.</w:t>
      </w:r>
      <w:r w:rsidR="00A22117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%, sewage collection by </w:t>
      </w:r>
      <w:r w:rsidR="00A22117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.2%, heat and hot water by </w:t>
      </w:r>
      <w:r w:rsidR="00A22117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.</w:t>
      </w:r>
      <w:r w:rsidR="00A2211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%. </w:t>
      </w:r>
      <w:r w:rsidR="00A22117" w:rsidRPr="00361507">
        <w:rPr>
          <w:rFonts w:cs="Arial"/>
          <w:sz w:val="20"/>
          <w:szCs w:val="20"/>
        </w:rPr>
        <w:t>The dec</w:t>
      </w:r>
      <w:r w:rsidR="0075427C" w:rsidRPr="00361507">
        <w:rPr>
          <w:rFonts w:cs="Arial"/>
          <w:sz w:val="20"/>
          <w:szCs w:val="20"/>
        </w:rPr>
        <w:t>line</w:t>
      </w:r>
      <w:r w:rsidR="00A22117" w:rsidRPr="00361507">
        <w:rPr>
          <w:rFonts w:cs="Arial"/>
          <w:sz w:val="20"/>
          <w:szCs w:val="20"/>
        </w:rPr>
        <w:t xml:space="preserve"> </w:t>
      </w:r>
      <w:r w:rsidR="007B3D58" w:rsidRPr="00361507">
        <w:rPr>
          <w:rFonts w:cs="Arial"/>
          <w:sz w:val="20"/>
          <w:szCs w:val="20"/>
        </w:rPr>
        <w:t xml:space="preserve">in </w:t>
      </w:r>
      <w:r w:rsidR="0075427C" w:rsidRPr="00361507">
        <w:rPr>
          <w:rFonts w:cs="Arial"/>
          <w:sz w:val="20"/>
          <w:szCs w:val="20"/>
        </w:rPr>
        <w:t xml:space="preserve">natural gas </w:t>
      </w:r>
      <w:r w:rsidR="007B3D58" w:rsidRPr="00361507">
        <w:rPr>
          <w:rFonts w:cs="Arial"/>
          <w:sz w:val="20"/>
          <w:szCs w:val="20"/>
        </w:rPr>
        <w:t>p</w:t>
      </w:r>
      <w:r w:rsidRPr="00361507">
        <w:rPr>
          <w:rFonts w:cs="Arial"/>
          <w:sz w:val="20"/>
          <w:szCs w:val="20"/>
        </w:rPr>
        <w:t xml:space="preserve">rices </w:t>
      </w:r>
      <w:r w:rsidR="007B3D58" w:rsidRPr="00361507">
        <w:rPr>
          <w:rFonts w:cs="Arial"/>
          <w:sz w:val="20"/>
          <w:szCs w:val="20"/>
        </w:rPr>
        <w:t>turned to a growth</w:t>
      </w:r>
      <w:r w:rsidR="00B675BC" w:rsidRPr="00361507">
        <w:rPr>
          <w:rFonts w:cs="Arial"/>
          <w:sz w:val="20"/>
          <w:szCs w:val="20"/>
        </w:rPr>
        <w:t xml:space="preserve"> since July </w:t>
      </w:r>
      <w:r w:rsidR="00361507" w:rsidRPr="00361507">
        <w:rPr>
          <w:rFonts w:cs="Arial"/>
          <w:sz w:val="20"/>
          <w:szCs w:val="20"/>
        </w:rPr>
        <w:t>d</w:t>
      </w:r>
      <w:r w:rsidR="00B675BC" w:rsidRPr="00361507">
        <w:rPr>
          <w:rFonts w:cs="Arial"/>
          <w:sz w:val="20"/>
          <w:szCs w:val="20"/>
        </w:rPr>
        <w:t xml:space="preserve">ue to </w:t>
      </w:r>
      <w:r w:rsidR="00A80D05" w:rsidRPr="00361507">
        <w:rPr>
          <w:rFonts w:cs="Arial"/>
          <w:sz w:val="20"/>
          <w:szCs w:val="20"/>
        </w:rPr>
        <w:t xml:space="preserve">the </w:t>
      </w:r>
      <w:r w:rsidR="00647E27" w:rsidRPr="00361507">
        <w:rPr>
          <w:rFonts w:cs="Arial"/>
          <w:sz w:val="20"/>
          <w:szCs w:val="20"/>
        </w:rPr>
        <w:t>expiration of discounts from July 2013</w:t>
      </w:r>
      <w:r w:rsidRPr="00361507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647E27" w:rsidRDefault="00647E27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627091" w:rsidRPr="005B63F7" w:rsidRDefault="005B63F7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C74759">
        <w:rPr>
          <w:rFonts w:cs="Arial"/>
          <w:sz w:val="20"/>
        </w:rPr>
        <w:t xml:space="preserve">In 'health', </w:t>
      </w:r>
      <w:r>
        <w:rPr>
          <w:rFonts w:cs="Arial"/>
          <w:sz w:val="20"/>
        </w:rPr>
        <w:t>the drop</w:t>
      </w:r>
      <w:r w:rsidR="00D00ACC">
        <w:rPr>
          <w:rFonts w:cs="Arial"/>
          <w:sz w:val="20"/>
        </w:rPr>
        <w:t>,</w:t>
      </w:r>
      <w:r>
        <w:rPr>
          <w:rFonts w:cs="Arial"/>
          <w:sz w:val="20"/>
        </w:rPr>
        <w:t xml:space="preserve"> caused by </w:t>
      </w:r>
      <w:r w:rsidRPr="005B63F7">
        <w:rPr>
          <w:rFonts w:cs="Arial"/>
          <w:sz w:val="20"/>
          <w:szCs w:val="20"/>
        </w:rPr>
        <w:t xml:space="preserve">the abolition of the regulatory fee </w:t>
      </w:r>
      <w:r w:rsidR="00D00ACC">
        <w:rPr>
          <w:rFonts w:cs="Arial"/>
          <w:sz w:val="20"/>
          <w:szCs w:val="20"/>
        </w:rPr>
        <w:t xml:space="preserve">since January 2014, slowed down gradually during the year due mainly to a </w:t>
      </w:r>
      <w:r w:rsidR="00826239">
        <w:rPr>
          <w:rFonts w:cs="Arial"/>
          <w:sz w:val="20"/>
          <w:szCs w:val="20"/>
        </w:rPr>
        <w:t xml:space="preserve">price </w:t>
      </w:r>
      <w:r w:rsidR="00D00ACC">
        <w:rPr>
          <w:rFonts w:cs="Arial"/>
          <w:sz w:val="20"/>
          <w:szCs w:val="20"/>
        </w:rPr>
        <w:t xml:space="preserve">rise in </w:t>
      </w:r>
      <w:r w:rsidR="00576863">
        <w:rPr>
          <w:rFonts w:cs="Arial"/>
          <w:sz w:val="20"/>
          <w:szCs w:val="20"/>
        </w:rPr>
        <w:t>amounts paid by patients</w:t>
      </w:r>
      <w:r w:rsidR="00826239">
        <w:rPr>
          <w:rFonts w:cs="Arial"/>
          <w:sz w:val="20"/>
          <w:szCs w:val="20"/>
        </w:rPr>
        <w:t xml:space="preserve"> for drugs</w:t>
      </w:r>
      <w:r w:rsidRPr="005B63F7">
        <w:rPr>
          <w:rFonts w:cs="Arial"/>
          <w:sz w:val="20"/>
          <w:szCs w:val="20"/>
        </w:rPr>
        <w:t>.</w:t>
      </w:r>
    </w:p>
    <w:p w:rsidR="00627091" w:rsidRDefault="00627091" w:rsidP="0062709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627091" w:rsidRPr="00360825" w:rsidRDefault="00627091" w:rsidP="0062709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 downward effect on the overall price level came from </w:t>
      </w:r>
      <w:r w:rsidRPr="00C44805">
        <w:rPr>
          <w:rFonts w:ascii="Arial" w:hAnsi="Arial" w:cs="Arial"/>
          <w:b w:val="0"/>
          <w:bCs w:val="0"/>
          <w:sz w:val="20"/>
        </w:rPr>
        <w:t>'communication'</w:t>
      </w:r>
      <w:r>
        <w:rPr>
          <w:rFonts w:ascii="Arial" w:hAnsi="Arial" w:cs="Arial"/>
          <w:b w:val="0"/>
          <w:bCs w:val="0"/>
          <w:sz w:val="20"/>
        </w:rPr>
        <w:t xml:space="preserve"> due to lower prices of </w:t>
      </w:r>
      <w:r w:rsidR="00150C78">
        <w:rPr>
          <w:rFonts w:ascii="Arial" w:hAnsi="Arial" w:cs="Arial"/>
          <w:b w:val="0"/>
          <w:bCs w:val="0"/>
          <w:sz w:val="20"/>
        </w:rPr>
        <w:t xml:space="preserve">telephone and </w:t>
      </w:r>
      <w:proofErr w:type="spellStart"/>
      <w:r w:rsidR="00150C78">
        <w:rPr>
          <w:rFonts w:ascii="Arial" w:hAnsi="Arial" w:cs="Arial"/>
          <w:b w:val="0"/>
          <w:bCs w:val="0"/>
          <w:sz w:val="20"/>
        </w:rPr>
        <w:t>telefax</w:t>
      </w:r>
      <w:proofErr w:type="spellEnd"/>
      <w:r w:rsidR="00150C78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>s</w:t>
      </w:r>
      <w:r w:rsidR="00150C78">
        <w:rPr>
          <w:rFonts w:ascii="Arial" w:hAnsi="Arial" w:cs="Arial"/>
          <w:b w:val="0"/>
          <w:bCs w:val="0"/>
          <w:sz w:val="20"/>
        </w:rPr>
        <w:t>ervices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="00386FD7">
        <w:rPr>
          <w:rFonts w:ascii="Arial" w:hAnsi="Arial" w:cs="Arial"/>
          <w:b w:val="0"/>
          <w:bCs w:val="0"/>
          <w:sz w:val="20"/>
        </w:rPr>
        <w:t>(-</w:t>
      </w:r>
      <w:r w:rsidR="00576863">
        <w:rPr>
          <w:rFonts w:ascii="Arial" w:hAnsi="Arial" w:cs="Arial"/>
          <w:b w:val="0"/>
          <w:bCs w:val="0"/>
          <w:sz w:val="20"/>
        </w:rPr>
        <w:t>5.1%</w:t>
      </w:r>
      <w:r w:rsidR="00386FD7">
        <w:rPr>
          <w:rFonts w:ascii="Arial" w:hAnsi="Arial" w:cs="Arial"/>
          <w:b w:val="0"/>
          <w:bCs w:val="0"/>
          <w:sz w:val="20"/>
        </w:rPr>
        <w:t>)</w:t>
      </w:r>
      <w:r w:rsidR="00576863">
        <w:rPr>
          <w:rFonts w:ascii="Arial" w:hAnsi="Arial" w:cs="Arial"/>
          <w:b w:val="0"/>
          <w:bCs w:val="0"/>
          <w:sz w:val="20"/>
        </w:rPr>
        <w:t>. On the other hand, prices of postal services were higher by 11.1%.</w:t>
      </w:r>
      <w:r w:rsidRPr="00360825">
        <w:rPr>
          <w:rFonts w:ascii="Arial" w:hAnsi="Arial" w:cs="Arial"/>
          <w:b w:val="0"/>
          <w:bCs w:val="0"/>
          <w:sz w:val="20"/>
        </w:rPr>
        <w:t xml:space="preserve"> </w:t>
      </w:r>
    </w:p>
    <w:p w:rsidR="00627091" w:rsidRDefault="00627091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D3A01" w:rsidRDefault="001358A3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1358A3">
        <w:rPr>
          <w:szCs w:val="18"/>
        </w:rPr>
        <w:lastRenderedPageBreak/>
        <w:pict>
          <v:shape id="_x0000_i1033" type="#_x0000_t75" style="width:425.25pt;height:463.5pt">
            <v:imagedata r:id="rId15" o:title=""/>
          </v:shape>
        </w:pict>
      </w:r>
    </w:p>
    <w:p w:rsidR="00CE1F09" w:rsidRDefault="00CE1F09" w:rsidP="00CE1F09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>Elaborated by Consumer Prices Statistics Unit of the CZSO</w:t>
      </w: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proofErr w:type="spellStart"/>
      <w:r w:rsidRPr="00F4502F">
        <w:rPr>
          <w:rFonts w:cs="Arial"/>
          <w:szCs w:val="20"/>
        </w:rPr>
        <w:t>Jiri</w:t>
      </w:r>
      <w:proofErr w:type="spellEnd"/>
      <w:r w:rsidRPr="00F4502F">
        <w:rPr>
          <w:rFonts w:cs="Arial"/>
          <w:szCs w:val="20"/>
        </w:rPr>
        <w:t xml:space="preserve"> </w:t>
      </w:r>
      <w:proofErr w:type="spellStart"/>
      <w:r w:rsidRPr="00F4502F">
        <w:rPr>
          <w:rFonts w:cs="Arial"/>
          <w:szCs w:val="20"/>
        </w:rPr>
        <w:t>Trexler</w:t>
      </w:r>
      <w:proofErr w:type="spellEnd"/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6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6726F6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p w:rsidR="006726F6" w:rsidRDefault="006726F6" w:rsidP="00BE2761">
      <w:pPr>
        <w:rPr>
          <w:rFonts w:cs="Arial"/>
          <w:szCs w:val="20"/>
        </w:rPr>
      </w:pPr>
    </w:p>
    <w:p w:rsidR="006726F6" w:rsidRPr="00A200AA" w:rsidRDefault="006726F6" w:rsidP="00BE2761">
      <w:pPr>
        <w:rPr>
          <w:rFonts w:cs="Arial"/>
          <w:szCs w:val="20"/>
        </w:rPr>
      </w:pPr>
      <w:r>
        <w:rPr>
          <w:rFonts w:cs="Arial"/>
          <w:szCs w:val="20"/>
        </w:rPr>
        <w:t>Not edited for language</w:t>
      </w:r>
    </w:p>
    <w:sectPr w:rsidR="006726F6" w:rsidRPr="00A200AA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1F9" w:rsidRDefault="009B21F9" w:rsidP="00BA6370">
      <w:r>
        <w:separator/>
      </w:r>
    </w:p>
  </w:endnote>
  <w:endnote w:type="continuationSeparator" w:id="0">
    <w:p w:rsidR="009B21F9" w:rsidRDefault="009B21F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20B9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20B9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20B92" w:rsidRPr="007E75DE">
                  <w:rPr>
                    <w:rFonts w:cs="Arial"/>
                    <w:szCs w:val="15"/>
                  </w:rPr>
                  <w:fldChar w:fldCharType="separate"/>
                </w:r>
                <w:r w:rsidR="00826239">
                  <w:rPr>
                    <w:rFonts w:cs="Arial"/>
                    <w:noProof/>
                    <w:szCs w:val="15"/>
                  </w:rPr>
                  <w:t>9</w:t>
                </w:r>
                <w:r w:rsidR="00520B9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20B92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1F9" w:rsidRDefault="009B21F9" w:rsidP="00BA6370">
      <w:r>
        <w:separator/>
      </w:r>
    </w:p>
  </w:footnote>
  <w:footnote w:type="continuationSeparator" w:id="0">
    <w:p w:rsidR="009B21F9" w:rsidRDefault="009B21F9" w:rsidP="00BA6370">
      <w:r>
        <w:continuationSeparator/>
      </w:r>
    </w:p>
  </w:footnote>
  <w:footnote w:id="1">
    <w:p w:rsidR="00E14F24" w:rsidRPr="00E14F24" w:rsidRDefault="00E14F24">
      <w:pPr>
        <w:pStyle w:val="Textpoznpodarou"/>
        <w:rPr>
          <w:rFonts w:ascii="Arial" w:hAnsi="Arial"/>
          <w:sz w:val="18"/>
        </w:rPr>
      </w:pPr>
      <w:r w:rsidRPr="00E14F24">
        <w:rPr>
          <w:rStyle w:val="Znakapoznpodarou"/>
        </w:rPr>
        <w:footnoteRef/>
      </w:r>
      <w:r w:rsidRPr="00E14F24">
        <w:rPr>
          <w:vertAlign w:val="superscript"/>
        </w:rPr>
        <w:t xml:space="preserve">) </w:t>
      </w:r>
      <w:r w:rsidRPr="00E14F24">
        <w:rPr>
          <w:rFonts w:ascii="Arial" w:hAnsi="Arial"/>
          <w:sz w:val="18"/>
        </w:rPr>
        <w:t>Prices that are fully or partially regulated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20B92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1776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2623"/>
    <w:rsid w:val="000027ED"/>
    <w:rsid w:val="00002DE0"/>
    <w:rsid w:val="00003A97"/>
    <w:rsid w:val="000107AE"/>
    <w:rsid w:val="00011143"/>
    <w:rsid w:val="0001119D"/>
    <w:rsid w:val="00016CF2"/>
    <w:rsid w:val="00017197"/>
    <w:rsid w:val="00020961"/>
    <w:rsid w:val="000248F6"/>
    <w:rsid w:val="0002591F"/>
    <w:rsid w:val="00025F97"/>
    <w:rsid w:val="00027243"/>
    <w:rsid w:val="0003040C"/>
    <w:rsid w:val="00031202"/>
    <w:rsid w:val="000343A9"/>
    <w:rsid w:val="0003523C"/>
    <w:rsid w:val="0004246C"/>
    <w:rsid w:val="000437DB"/>
    <w:rsid w:val="00043BF4"/>
    <w:rsid w:val="00043FA7"/>
    <w:rsid w:val="00055005"/>
    <w:rsid w:val="00055401"/>
    <w:rsid w:val="00057150"/>
    <w:rsid w:val="00060098"/>
    <w:rsid w:val="00061EBC"/>
    <w:rsid w:val="000656BF"/>
    <w:rsid w:val="00066360"/>
    <w:rsid w:val="00075507"/>
    <w:rsid w:val="00076CD3"/>
    <w:rsid w:val="00083AE6"/>
    <w:rsid w:val="000843A5"/>
    <w:rsid w:val="00092FCB"/>
    <w:rsid w:val="00094714"/>
    <w:rsid w:val="00096155"/>
    <w:rsid w:val="000A0AED"/>
    <w:rsid w:val="000A16F6"/>
    <w:rsid w:val="000B04C9"/>
    <w:rsid w:val="000B1349"/>
    <w:rsid w:val="000B281A"/>
    <w:rsid w:val="000B3676"/>
    <w:rsid w:val="000B5F23"/>
    <w:rsid w:val="000B6F63"/>
    <w:rsid w:val="000B79D8"/>
    <w:rsid w:val="000C4CA4"/>
    <w:rsid w:val="000C5D9F"/>
    <w:rsid w:val="000C7B46"/>
    <w:rsid w:val="000D26D1"/>
    <w:rsid w:val="000E6EFC"/>
    <w:rsid w:val="000F1FAD"/>
    <w:rsid w:val="00103806"/>
    <w:rsid w:val="00104E78"/>
    <w:rsid w:val="00107D66"/>
    <w:rsid w:val="00113E13"/>
    <w:rsid w:val="00114FA5"/>
    <w:rsid w:val="00116726"/>
    <w:rsid w:val="001170D9"/>
    <w:rsid w:val="00120471"/>
    <w:rsid w:val="00122FBD"/>
    <w:rsid w:val="00130D61"/>
    <w:rsid w:val="00132746"/>
    <w:rsid w:val="00133CAA"/>
    <w:rsid w:val="00134336"/>
    <w:rsid w:val="001358A3"/>
    <w:rsid w:val="001404AB"/>
    <w:rsid w:val="001404E9"/>
    <w:rsid w:val="0014092C"/>
    <w:rsid w:val="00142A95"/>
    <w:rsid w:val="001441DB"/>
    <w:rsid w:val="00144B15"/>
    <w:rsid w:val="00147ECE"/>
    <w:rsid w:val="00150402"/>
    <w:rsid w:val="00150C78"/>
    <w:rsid w:val="00156A00"/>
    <w:rsid w:val="00166FB7"/>
    <w:rsid w:val="00170FED"/>
    <w:rsid w:val="0017231D"/>
    <w:rsid w:val="00174F0C"/>
    <w:rsid w:val="0017718A"/>
    <w:rsid w:val="00180151"/>
    <w:rsid w:val="00180848"/>
    <w:rsid w:val="001810DC"/>
    <w:rsid w:val="0018570C"/>
    <w:rsid w:val="00187112"/>
    <w:rsid w:val="0019207A"/>
    <w:rsid w:val="001960B9"/>
    <w:rsid w:val="00196383"/>
    <w:rsid w:val="00197013"/>
    <w:rsid w:val="001A0048"/>
    <w:rsid w:val="001A3661"/>
    <w:rsid w:val="001A463F"/>
    <w:rsid w:val="001A7975"/>
    <w:rsid w:val="001B3EB5"/>
    <w:rsid w:val="001B607F"/>
    <w:rsid w:val="001B708F"/>
    <w:rsid w:val="001C0D7B"/>
    <w:rsid w:val="001C51B5"/>
    <w:rsid w:val="001D369A"/>
    <w:rsid w:val="001D7CA2"/>
    <w:rsid w:val="001E3071"/>
    <w:rsid w:val="001E5979"/>
    <w:rsid w:val="001F24BE"/>
    <w:rsid w:val="001F4C5D"/>
    <w:rsid w:val="001F5C30"/>
    <w:rsid w:val="001F74B8"/>
    <w:rsid w:val="001F7874"/>
    <w:rsid w:val="001F7C24"/>
    <w:rsid w:val="00200F85"/>
    <w:rsid w:val="00206F96"/>
    <w:rsid w:val="002070FB"/>
    <w:rsid w:val="00212AB1"/>
    <w:rsid w:val="00213729"/>
    <w:rsid w:val="002151CE"/>
    <w:rsid w:val="00223267"/>
    <w:rsid w:val="00223CFF"/>
    <w:rsid w:val="00223ECE"/>
    <w:rsid w:val="0022523B"/>
    <w:rsid w:val="00230C39"/>
    <w:rsid w:val="00233A1E"/>
    <w:rsid w:val="00240000"/>
    <w:rsid w:val="00240678"/>
    <w:rsid w:val="002406FA"/>
    <w:rsid w:val="00241599"/>
    <w:rsid w:val="00242D60"/>
    <w:rsid w:val="00246B9A"/>
    <w:rsid w:val="00260317"/>
    <w:rsid w:val="0026176B"/>
    <w:rsid w:val="00264D24"/>
    <w:rsid w:val="002705C0"/>
    <w:rsid w:val="00275387"/>
    <w:rsid w:val="002809FE"/>
    <w:rsid w:val="00283829"/>
    <w:rsid w:val="00283B79"/>
    <w:rsid w:val="00284AE9"/>
    <w:rsid w:val="00285314"/>
    <w:rsid w:val="00292421"/>
    <w:rsid w:val="002A021C"/>
    <w:rsid w:val="002A032D"/>
    <w:rsid w:val="002A10CE"/>
    <w:rsid w:val="002A10D8"/>
    <w:rsid w:val="002A2D8C"/>
    <w:rsid w:val="002A3DED"/>
    <w:rsid w:val="002A7298"/>
    <w:rsid w:val="002B1C0E"/>
    <w:rsid w:val="002B24D0"/>
    <w:rsid w:val="002B2E47"/>
    <w:rsid w:val="002B2E58"/>
    <w:rsid w:val="002B54B1"/>
    <w:rsid w:val="002C41D3"/>
    <w:rsid w:val="002C4F53"/>
    <w:rsid w:val="002C5209"/>
    <w:rsid w:val="002C6F6E"/>
    <w:rsid w:val="002D0A50"/>
    <w:rsid w:val="002E2981"/>
    <w:rsid w:val="002E359E"/>
    <w:rsid w:val="002F1BD4"/>
    <w:rsid w:val="002F32B5"/>
    <w:rsid w:val="002F572F"/>
    <w:rsid w:val="002F5C1B"/>
    <w:rsid w:val="002F646E"/>
    <w:rsid w:val="00302625"/>
    <w:rsid w:val="00303778"/>
    <w:rsid w:val="0030638E"/>
    <w:rsid w:val="00316ACA"/>
    <w:rsid w:val="00317FF8"/>
    <w:rsid w:val="00324455"/>
    <w:rsid w:val="00324CD9"/>
    <w:rsid w:val="003301A3"/>
    <w:rsid w:val="00331F22"/>
    <w:rsid w:val="003325AD"/>
    <w:rsid w:val="00333177"/>
    <w:rsid w:val="003332C4"/>
    <w:rsid w:val="00337014"/>
    <w:rsid w:val="00343C5C"/>
    <w:rsid w:val="0034663C"/>
    <w:rsid w:val="0035305D"/>
    <w:rsid w:val="00353F5A"/>
    <w:rsid w:val="00357BC0"/>
    <w:rsid w:val="003602C0"/>
    <w:rsid w:val="00360825"/>
    <w:rsid w:val="00360CFF"/>
    <w:rsid w:val="00360F26"/>
    <w:rsid w:val="00361507"/>
    <w:rsid w:val="00361698"/>
    <w:rsid w:val="003647A7"/>
    <w:rsid w:val="0036777B"/>
    <w:rsid w:val="0037278F"/>
    <w:rsid w:val="003732CC"/>
    <w:rsid w:val="00381E08"/>
    <w:rsid w:val="00381F26"/>
    <w:rsid w:val="0038282A"/>
    <w:rsid w:val="00383651"/>
    <w:rsid w:val="0038525A"/>
    <w:rsid w:val="00386136"/>
    <w:rsid w:val="00386FD7"/>
    <w:rsid w:val="00394A5A"/>
    <w:rsid w:val="00397580"/>
    <w:rsid w:val="00397C09"/>
    <w:rsid w:val="003A05BC"/>
    <w:rsid w:val="003A45C8"/>
    <w:rsid w:val="003A4ED7"/>
    <w:rsid w:val="003A5212"/>
    <w:rsid w:val="003A6B7B"/>
    <w:rsid w:val="003A6F6A"/>
    <w:rsid w:val="003B0BD0"/>
    <w:rsid w:val="003B16EA"/>
    <w:rsid w:val="003C2DCF"/>
    <w:rsid w:val="003C505D"/>
    <w:rsid w:val="003C54C7"/>
    <w:rsid w:val="003C7235"/>
    <w:rsid w:val="003C7FE7"/>
    <w:rsid w:val="003D01D4"/>
    <w:rsid w:val="003D0499"/>
    <w:rsid w:val="003D08FB"/>
    <w:rsid w:val="003D18BA"/>
    <w:rsid w:val="003D1CBB"/>
    <w:rsid w:val="003D6D31"/>
    <w:rsid w:val="003F2C44"/>
    <w:rsid w:val="003F3D66"/>
    <w:rsid w:val="003F526A"/>
    <w:rsid w:val="00403CAD"/>
    <w:rsid w:val="00405244"/>
    <w:rsid w:val="00411E7F"/>
    <w:rsid w:val="00414E00"/>
    <w:rsid w:val="00415087"/>
    <w:rsid w:val="00420638"/>
    <w:rsid w:val="00420FF8"/>
    <w:rsid w:val="00422085"/>
    <w:rsid w:val="004230DA"/>
    <w:rsid w:val="004230E7"/>
    <w:rsid w:val="0043163D"/>
    <w:rsid w:val="00432C11"/>
    <w:rsid w:val="00435EF2"/>
    <w:rsid w:val="00441A5F"/>
    <w:rsid w:val="00442B15"/>
    <w:rsid w:val="004436EE"/>
    <w:rsid w:val="0044419E"/>
    <w:rsid w:val="00444542"/>
    <w:rsid w:val="00444840"/>
    <w:rsid w:val="00446FBC"/>
    <w:rsid w:val="00447C7B"/>
    <w:rsid w:val="00454ECE"/>
    <w:rsid w:val="0045520B"/>
    <w:rsid w:val="0045547F"/>
    <w:rsid w:val="004569A8"/>
    <w:rsid w:val="00461A68"/>
    <w:rsid w:val="00462D14"/>
    <w:rsid w:val="00467648"/>
    <w:rsid w:val="00467BF4"/>
    <w:rsid w:val="004710DD"/>
    <w:rsid w:val="00471B46"/>
    <w:rsid w:val="004726B4"/>
    <w:rsid w:val="00472994"/>
    <w:rsid w:val="00475C9D"/>
    <w:rsid w:val="0047746F"/>
    <w:rsid w:val="00481414"/>
    <w:rsid w:val="004837A0"/>
    <w:rsid w:val="004867D7"/>
    <w:rsid w:val="00490476"/>
    <w:rsid w:val="004920AD"/>
    <w:rsid w:val="004939E7"/>
    <w:rsid w:val="00494AD1"/>
    <w:rsid w:val="00494FF7"/>
    <w:rsid w:val="0049517D"/>
    <w:rsid w:val="004A58B4"/>
    <w:rsid w:val="004A5E9F"/>
    <w:rsid w:val="004A6927"/>
    <w:rsid w:val="004B6311"/>
    <w:rsid w:val="004C0641"/>
    <w:rsid w:val="004C12B7"/>
    <w:rsid w:val="004C1E44"/>
    <w:rsid w:val="004C1EDD"/>
    <w:rsid w:val="004C2849"/>
    <w:rsid w:val="004C7540"/>
    <w:rsid w:val="004D05B3"/>
    <w:rsid w:val="004D417B"/>
    <w:rsid w:val="004D5360"/>
    <w:rsid w:val="004E479E"/>
    <w:rsid w:val="004E5945"/>
    <w:rsid w:val="004E73E5"/>
    <w:rsid w:val="004F20BE"/>
    <w:rsid w:val="004F4A9B"/>
    <w:rsid w:val="004F76D6"/>
    <w:rsid w:val="004F78E6"/>
    <w:rsid w:val="00500200"/>
    <w:rsid w:val="00500C3F"/>
    <w:rsid w:val="00501037"/>
    <w:rsid w:val="00501B03"/>
    <w:rsid w:val="005027B1"/>
    <w:rsid w:val="005061C8"/>
    <w:rsid w:val="00512D99"/>
    <w:rsid w:val="0051641D"/>
    <w:rsid w:val="00520B92"/>
    <w:rsid w:val="00521333"/>
    <w:rsid w:val="00521469"/>
    <w:rsid w:val="005224A3"/>
    <w:rsid w:val="00530B59"/>
    <w:rsid w:val="00530C17"/>
    <w:rsid w:val="00531DBB"/>
    <w:rsid w:val="005378F1"/>
    <w:rsid w:val="00542687"/>
    <w:rsid w:val="00542ADF"/>
    <w:rsid w:val="00543B1A"/>
    <w:rsid w:val="005453AD"/>
    <w:rsid w:val="005458FA"/>
    <w:rsid w:val="0054619A"/>
    <w:rsid w:val="0055343A"/>
    <w:rsid w:val="0055579F"/>
    <w:rsid w:val="005565E7"/>
    <w:rsid w:val="00556F0B"/>
    <w:rsid w:val="00557891"/>
    <w:rsid w:val="00562896"/>
    <w:rsid w:val="00563B40"/>
    <w:rsid w:val="00564DE4"/>
    <w:rsid w:val="00573FDF"/>
    <w:rsid w:val="00576863"/>
    <w:rsid w:val="0058124E"/>
    <w:rsid w:val="005841A5"/>
    <w:rsid w:val="005901C5"/>
    <w:rsid w:val="00591218"/>
    <w:rsid w:val="00591CFA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5A96"/>
    <w:rsid w:val="005D04F6"/>
    <w:rsid w:val="005D0A97"/>
    <w:rsid w:val="005D10B9"/>
    <w:rsid w:val="005D10CC"/>
    <w:rsid w:val="005D17B4"/>
    <w:rsid w:val="005D53B9"/>
    <w:rsid w:val="005D742F"/>
    <w:rsid w:val="005D755C"/>
    <w:rsid w:val="005E28D1"/>
    <w:rsid w:val="005E5B3B"/>
    <w:rsid w:val="005E6156"/>
    <w:rsid w:val="005E7AB2"/>
    <w:rsid w:val="005F79FB"/>
    <w:rsid w:val="006030C7"/>
    <w:rsid w:val="00604406"/>
    <w:rsid w:val="00605F4A"/>
    <w:rsid w:val="006073CE"/>
    <w:rsid w:val="00607822"/>
    <w:rsid w:val="006103AA"/>
    <w:rsid w:val="006113C0"/>
    <w:rsid w:val="00613BBF"/>
    <w:rsid w:val="00614E6B"/>
    <w:rsid w:val="00620A55"/>
    <w:rsid w:val="00622B80"/>
    <w:rsid w:val="0062306F"/>
    <w:rsid w:val="00624CC7"/>
    <w:rsid w:val="00624F76"/>
    <w:rsid w:val="0062640C"/>
    <w:rsid w:val="0062701A"/>
    <w:rsid w:val="00627091"/>
    <w:rsid w:val="00637F08"/>
    <w:rsid w:val="00640968"/>
    <w:rsid w:val="0064139A"/>
    <w:rsid w:val="00641541"/>
    <w:rsid w:val="006437D8"/>
    <w:rsid w:val="00645D6E"/>
    <w:rsid w:val="0064636A"/>
    <w:rsid w:val="00647E27"/>
    <w:rsid w:val="00651009"/>
    <w:rsid w:val="0065372D"/>
    <w:rsid w:val="00655D52"/>
    <w:rsid w:val="00657334"/>
    <w:rsid w:val="00660C79"/>
    <w:rsid w:val="00660E38"/>
    <w:rsid w:val="006636FC"/>
    <w:rsid w:val="00666288"/>
    <w:rsid w:val="006676A5"/>
    <w:rsid w:val="006700E2"/>
    <w:rsid w:val="00671ACE"/>
    <w:rsid w:val="00671E3E"/>
    <w:rsid w:val="006726F6"/>
    <w:rsid w:val="00673830"/>
    <w:rsid w:val="006812BC"/>
    <w:rsid w:val="00687226"/>
    <w:rsid w:val="00690CE0"/>
    <w:rsid w:val="00691A83"/>
    <w:rsid w:val="00691B73"/>
    <w:rsid w:val="00693514"/>
    <w:rsid w:val="00694EFC"/>
    <w:rsid w:val="006A25D6"/>
    <w:rsid w:val="006B191C"/>
    <w:rsid w:val="006B2056"/>
    <w:rsid w:val="006B79DB"/>
    <w:rsid w:val="006C1FDD"/>
    <w:rsid w:val="006C2508"/>
    <w:rsid w:val="006C6FF2"/>
    <w:rsid w:val="006D02FF"/>
    <w:rsid w:val="006D0388"/>
    <w:rsid w:val="006D3F79"/>
    <w:rsid w:val="006D75A7"/>
    <w:rsid w:val="006D75F0"/>
    <w:rsid w:val="006E024F"/>
    <w:rsid w:val="006E0C60"/>
    <w:rsid w:val="006E14C8"/>
    <w:rsid w:val="006E2E62"/>
    <w:rsid w:val="006E4E81"/>
    <w:rsid w:val="006E4EB2"/>
    <w:rsid w:val="006F3B1D"/>
    <w:rsid w:val="0070145D"/>
    <w:rsid w:val="007074C1"/>
    <w:rsid w:val="0070777F"/>
    <w:rsid w:val="00707F7D"/>
    <w:rsid w:val="00710561"/>
    <w:rsid w:val="0071500E"/>
    <w:rsid w:val="00717EC5"/>
    <w:rsid w:val="00720BE1"/>
    <w:rsid w:val="007276BB"/>
    <w:rsid w:val="00733B0F"/>
    <w:rsid w:val="00736150"/>
    <w:rsid w:val="00740530"/>
    <w:rsid w:val="007505D5"/>
    <w:rsid w:val="00752A2F"/>
    <w:rsid w:val="0075427C"/>
    <w:rsid w:val="007651A6"/>
    <w:rsid w:val="00775F1E"/>
    <w:rsid w:val="007763E8"/>
    <w:rsid w:val="007800DF"/>
    <w:rsid w:val="00786C99"/>
    <w:rsid w:val="00791885"/>
    <w:rsid w:val="00794BF6"/>
    <w:rsid w:val="007A2136"/>
    <w:rsid w:val="007A57F2"/>
    <w:rsid w:val="007A5850"/>
    <w:rsid w:val="007B1333"/>
    <w:rsid w:val="007B1CFD"/>
    <w:rsid w:val="007B279A"/>
    <w:rsid w:val="007B3012"/>
    <w:rsid w:val="007B3D58"/>
    <w:rsid w:val="007C02E0"/>
    <w:rsid w:val="007C0C46"/>
    <w:rsid w:val="007C269C"/>
    <w:rsid w:val="007C2CB9"/>
    <w:rsid w:val="007C3490"/>
    <w:rsid w:val="007C64AB"/>
    <w:rsid w:val="007D4095"/>
    <w:rsid w:val="007D740A"/>
    <w:rsid w:val="007E0C8D"/>
    <w:rsid w:val="007E4A36"/>
    <w:rsid w:val="007E5FB8"/>
    <w:rsid w:val="007E62D9"/>
    <w:rsid w:val="007F1989"/>
    <w:rsid w:val="007F4321"/>
    <w:rsid w:val="007F4AEB"/>
    <w:rsid w:val="007F5746"/>
    <w:rsid w:val="007F75B2"/>
    <w:rsid w:val="008043C4"/>
    <w:rsid w:val="008109B5"/>
    <w:rsid w:val="0081223F"/>
    <w:rsid w:val="00813F35"/>
    <w:rsid w:val="00816832"/>
    <w:rsid w:val="00817626"/>
    <w:rsid w:val="00817A40"/>
    <w:rsid w:val="008208BD"/>
    <w:rsid w:val="00824595"/>
    <w:rsid w:val="00825954"/>
    <w:rsid w:val="00826239"/>
    <w:rsid w:val="0083106C"/>
    <w:rsid w:val="0083167F"/>
    <w:rsid w:val="00831B1B"/>
    <w:rsid w:val="00833E83"/>
    <w:rsid w:val="00834B42"/>
    <w:rsid w:val="008366F5"/>
    <w:rsid w:val="00847C38"/>
    <w:rsid w:val="00850385"/>
    <w:rsid w:val="00850AEF"/>
    <w:rsid w:val="00861175"/>
    <w:rsid w:val="00861D0E"/>
    <w:rsid w:val="00864141"/>
    <w:rsid w:val="00864539"/>
    <w:rsid w:val="008663DF"/>
    <w:rsid w:val="00867569"/>
    <w:rsid w:val="00871CA3"/>
    <w:rsid w:val="00873CF1"/>
    <w:rsid w:val="008741E8"/>
    <w:rsid w:val="00874E6D"/>
    <w:rsid w:val="00875088"/>
    <w:rsid w:val="008802A5"/>
    <w:rsid w:val="008819FE"/>
    <w:rsid w:val="0088276C"/>
    <w:rsid w:val="00890C1C"/>
    <w:rsid w:val="0089797A"/>
    <w:rsid w:val="008A386E"/>
    <w:rsid w:val="008A4FAF"/>
    <w:rsid w:val="008A750A"/>
    <w:rsid w:val="008B1C27"/>
    <w:rsid w:val="008B2104"/>
    <w:rsid w:val="008B448D"/>
    <w:rsid w:val="008B6E30"/>
    <w:rsid w:val="008C384C"/>
    <w:rsid w:val="008C4A0B"/>
    <w:rsid w:val="008C6F05"/>
    <w:rsid w:val="008D0F11"/>
    <w:rsid w:val="008D3A01"/>
    <w:rsid w:val="008D42EE"/>
    <w:rsid w:val="008D6B85"/>
    <w:rsid w:val="008D7006"/>
    <w:rsid w:val="008E1C72"/>
    <w:rsid w:val="008E232D"/>
    <w:rsid w:val="008E6882"/>
    <w:rsid w:val="008E743E"/>
    <w:rsid w:val="008F16DD"/>
    <w:rsid w:val="008F3049"/>
    <w:rsid w:val="008F68D6"/>
    <w:rsid w:val="008F73B4"/>
    <w:rsid w:val="00901D40"/>
    <w:rsid w:val="009118B4"/>
    <w:rsid w:val="00912CFC"/>
    <w:rsid w:val="009147FD"/>
    <w:rsid w:val="0092067C"/>
    <w:rsid w:val="00923349"/>
    <w:rsid w:val="00926843"/>
    <w:rsid w:val="00930B09"/>
    <w:rsid w:val="00935615"/>
    <w:rsid w:val="00935E4A"/>
    <w:rsid w:val="0093638F"/>
    <w:rsid w:val="00936CD1"/>
    <w:rsid w:val="009417FB"/>
    <w:rsid w:val="009426B1"/>
    <w:rsid w:val="009538E9"/>
    <w:rsid w:val="0095477B"/>
    <w:rsid w:val="00954847"/>
    <w:rsid w:val="0095494B"/>
    <w:rsid w:val="009559DA"/>
    <w:rsid w:val="00960D98"/>
    <w:rsid w:val="009679B6"/>
    <w:rsid w:val="009751DC"/>
    <w:rsid w:val="009779A2"/>
    <w:rsid w:val="0098089F"/>
    <w:rsid w:val="00980ABC"/>
    <w:rsid w:val="00980E44"/>
    <w:rsid w:val="00981F23"/>
    <w:rsid w:val="009850AE"/>
    <w:rsid w:val="00986B35"/>
    <w:rsid w:val="0099718D"/>
    <w:rsid w:val="009A13DF"/>
    <w:rsid w:val="009B046E"/>
    <w:rsid w:val="009B21F9"/>
    <w:rsid w:val="009B3173"/>
    <w:rsid w:val="009B431A"/>
    <w:rsid w:val="009B55B1"/>
    <w:rsid w:val="009B61BC"/>
    <w:rsid w:val="009C27B0"/>
    <w:rsid w:val="009C2F95"/>
    <w:rsid w:val="009C584F"/>
    <w:rsid w:val="009D7F80"/>
    <w:rsid w:val="009D7FBD"/>
    <w:rsid w:val="009E1E3F"/>
    <w:rsid w:val="009E32E0"/>
    <w:rsid w:val="009E51D4"/>
    <w:rsid w:val="009F0744"/>
    <w:rsid w:val="009F39D8"/>
    <w:rsid w:val="009F7588"/>
    <w:rsid w:val="00A054B5"/>
    <w:rsid w:val="00A06B8E"/>
    <w:rsid w:val="00A102B7"/>
    <w:rsid w:val="00A1207F"/>
    <w:rsid w:val="00A128D6"/>
    <w:rsid w:val="00A13A69"/>
    <w:rsid w:val="00A15B9E"/>
    <w:rsid w:val="00A200AA"/>
    <w:rsid w:val="00A20B62"/>
    <w:rsid w:val="00A2147F"/>
    <w:rsid w:val="00A21CBE"/>
    <w:rsid w:val="00A22117"/>
    <w:rsid w:val="00A23DD8"/>
    <w:rsid w:val="00A4246F"/>
    <w:rsid w:val="00A4343D"/>
    <w:rsid w:val="00A437BD"/>
    <w:rsid w:val="00A43F43"/>
    <w:rsid w:val="00A44EA4"/>
    <w:rsid w:val="00A46161"/>
    <w:rsid w:val="00A502F1"/>
    <w:rsid w:val="00A50722"/>
    <w:rsid w:val="00A579F1"/>
    <w:rsid w:val="00A60D05"/>
    <w:rsid w:val="00A62260"/>
    <w:rsid w:val="00A62BD3"/>
    <w:rsid w:val="00A6521A"/>
    <w:rsid w:val="00A672AD"/>
    <w:rsid w:val="00A70A83"/>
    <w:rsid w:val="00A80D05"/>
    <w:rsid w:val="00A81EB3"/>
    <w:rsid w:val="00A82BCD"/>
    <w:rsid w:val="00A870B5"/>
    <w:rsid w:val="00A92350"/>
    <w:rsid w:val="00A930E3"/>
    <w:rsid w:val="00A93E51"/>
    <w:rsid w:val="00A94B89"/>
    <w:rsid w:val="00A96A2F"/>
    <w:rsid w:val="00A96B90"/>
    <w:rsid w:val="00AA16C3"/>
    <w:rsid w:val="00AA1AC8"/>
    <w:rsid w:val="00AA2100"/>
    <w:rsid w:val="00AA44AD"/>
    <w:rsid w:val="00AB0CB6"/>
    <w:rsid w:val="00AB0ED7"/>
    <w:rsid w:val="00AB3BD7"/>
    <w:rsid w:val="00AB514D"/>
    <w:rsid w:val="00AB6AC3"/>
    <w:rsid w:val="00AB7DD6"/>
    <w:rsid w:val="00AC13D9"/>
    <w:rsid w:val="00AC4868"/>
    <w:rsid w:val="00AC60AE"/>
    <w:rsid w:val="00AD1F4B"/>
    <w:rsid w:val="00AD7004"/>
    <w:rsid w:val="00AE423E"/>
    <w:rsid w:val="00AE5B4F"/>
    <w:rsid w:val="00AF2060"/>
    <w:rsid w:val="00AF3F77"/>
    <w:rsid w:val="00AF47DF"/>
    <w:rsid w:val="00AF6530"/>
    <w:rsid w:val="00B00C1D"/>
    <w:rsid w:val="00B00D4F"/>
    <w:rsid w:val="00B024A6"/>
    <w:rsid w:val="00B02CF5"/>
    <w:rsid w:val="00B068E9"/>
    <w:rsid w:val="00B10A19"/>
    <w:rsid w:val="00B14061"/>
    <w:rsid w:val="00B208F3"/>
    <w:rsid w:val="00B21F3A"/>
    <w:rsid w:val="00B3341A"/>
    <w:rsid w:val="00B33940"/>
    <w:rsid w:val="00B3622C"/>
    <w:rsid w:val="00B435A3"/>
    <w:rsid w:val="00B63A08"/>
    <w:rsid w:val="00B675BC"/>
    <w:rsid w:val="00B67D61"/>
    <w:rsid w:val="00B8009A"/>
    <w:rsid w:val="00B813C1"/>
    <w:rsid w:val="00B90180"/>
    <w:rsid w:val="00BA439F"/>
    <w:rsid w:val="00BA52C4"/>
    <w:rsid w:val="00BA5C42"/>
    <w:rsid w:val="00BA6370"/>
    <w:rsid w:val="00BA670B"/>
    <w:rsid w:val="00BB6E7D"/>
    <w:rsid w:val="00BC0D60"/>
    <w:rsid w:val="00BC176E"/>
    <w:rsid w:val="00BC3897"/>
    <w:rsid w:val="00BC4F8E"/>
    <w:rsid w:val="00BC553A"/>
    <w:rsid w:val="00BC648E"/>
    <w:rsid w:val="00BD6638"/>
    <w:rsid w:val="00BE2761"/>
    <w:rsid w:val="00BE5D18"/>
    <w:rsid w:val="00BF10D7"/>
    <w:rsid w:val="00BF4725"/>
    <w:rsid w:val="00BF6645"/>
    <w:rsid w:val="00BF67F4"/>
    <w:rsid w:val="00BF7B4F"/>
    <w:rsid w:val="00C00E61"/>
    <w:rsid w:val="00C031D3"/>
    <w:rsid w:val="00C0411B"/>
    <w:rsid w:val="00C044F6"/>
    <w:rsid w:val="00C05B1F"/>
    <w:rsid w:val="00C05FDF"/>
    <w:rsid w:val="00C074F1"/>
    <w:rsid w:val="00C141FC"/>
    <w:rsid w:val="00C255D6"/>
    <w:rsid w:val="00C25F43"/>
    <w:rsid w:val="00C269D4"/>
    <w:rsid w:val="00C30B86"/>
    <w:rsid w:val="00C364B0"/>
    <w:rsid w:val="00C369CC"/>
    <w:rsid w:val="00C4160D"/>
    <w:rsid w:val="00C445B1"/>
    <w:rsid w:val="00C44805"/>
    <w:rsid w:val="00C44E7E"/>
    <w:rsid w:val="00C45470"/>
    <w:rsid w:val="00C5422E"/>
    <w:rsid w:val="00C57241"/>
    <w:rsid w:val="00C61908"/>
    <w:rsid w:val="00C61F89"/>
    <w:rsid w:val="00C66756"/>
    <w:rsid w:val="00C72280"/>
    <w:rsid w:val="00C72B82"/>
    <w:rsid w:val="00C72C1C"/>
    <w:rsid w:val="00C74175"/>
    <w:rsid w:val="00C74759"/>
    <w:rsid w:val="00C7770E"/>
    <w:rsid w:val="00C82A80"/>
    <w:rsid w:val="00C82ABF"/>
    <w:rsid w:val="00C8406E"/>
    <w:rsid w:val="00C84E3E"/>
    <w:rsid w:val="00C87842"/>
    <w:rsid w:val="00C87CA9"/>
    <w:rsid w:val="00C902E8"/>
    <w:rsid w:val="00C91326"/>
    <w:rsid w:val="00C91512"/>
    <w:rsid w:val="00C91664"/>
    <w:rsid w:val="00C91BCF"/>
    <w:rsid w:val="00C91D37"/>
    <w:rsid w:val="00C958D7"/>
    <w:rsid w:val="00CA2564"/>
    <w:rsid w:val="00CA2AB8"/>
    <w:rsid w:val="00CA2E57"/>
    <w:rsid w:val="00CA3670"/>
    <w:rsid w:val="00CA57D4"/>
    <w:rsid w:val="00CA6C71"/>
    <w:rsid w:val="00CB10B9"/>
    <w:rsid w:val="00CB2709"/>
    <w:rsid w:val="00CB4E14"/>
    <w:rsid w:val="00CB6A5B"/>
    <w:rsid w:val="00CB6F89"/>
    <w:rsid w:val="00CC2A03"/>
    <w:rsid w:val="00CC5AA8"/>
    <w:rsid w:val="00CC7A49"/>
    <w:rsid w:val="00CD2780"/>
    <w:rsid w:val="00CD39F8"/>
    <w:rsid w:val="00CD5425"/>
    <w:rsid w:val="00CD62A2"/>
    <w:rsid w:val="00CE1F09"/>
    <w:rsid w:val="00CE228C"/>
    <w:rsid w:val="00CF1DC3"/>
    <w:rsid w:val="00CF545B"/>
    <w:rsid w:val="00CF66CB"/>
    <w:rsid w:val="00D00ACC"/>
    <w:rsid w:val="00D01DE5"/>
    <w:rsid w:val="00D02952"/>
    <w:rsid w:val="00D17EDC"/>
    <w:rsid w:val="00D22D03"/>
    <w:rsid w:val="00D24801"/>
    <w:rsid w:val="00D250E1"/>
    <w:rsid w:val="00D254F6"/>
    <w:rsid w:val="00D27D69"/>
    <w:rsid w:val="00D31DC8"/>
    <w:rsid w:val="00D337D3"/>
    <w:rsid w:val="00D41F59"/>
    <w:rsid w:val="00D448C2"/>
    <w:rsid w:val="00D45F69"/>
    <w:rsid w:val="00D47BE8"/>
    <w:rsid w:val="00D5053B"/>
    <w:rsid w:val="00D52ABB"/>
    <w:rsid w:val="00D55884"/>
    <w:rsid w:val="00D61282"/>
    <w:rsid w:val="00D6496E"/>
    <w:rsid w:val="00D666C3"/>
    <w:rsid w:val="00D72473"/>
    <w:rsid w:val="00D758BD"/>
    <w:rsid w:val="00D7602D"/>
    <w:rsid w:val="00D80B09"/>
    <w:rsid w:val="00D817AE"/>
    <w:rsid w:val="00D8268A"/>
    <w:rsid w:val="00D8547E"/>
    <w:rsid w:val="00D90197"/>
    <w:rsid w:val="00D92CB7"/>
    <w:rsid w:val="00D9470E"/>
    <w:rsid w:val="00D96F30"/>
    <w:rsid w:val="00DA1964"/>
    <w:rsid w:val="00DA238B"/>
    <w:rsid w:val="00DA294B"/>
    <w:rsid w:val="00DA3C71"/>
    <w:rsid w:val="00DA6B7A"/>
    <w:rsid w:val="00DB37B8"/>
    <w:rsid w:val="00DB5C02"/>
    <w:rsid w:val="00DB5F13"/>
    <w:rsid w:val="00DB6760"/>
    <w:rsid w:val="00DC7261"/>
    <w:rsid w:val="00DC7E11"/>
    <w:rsid w:val="00DD1DE1"/>
    <w:rsid w:val="00DD2B59"/>
    <w:rsid w:val="00DD5198"/>
    <w:rsid w:val="00DD6324"/>
    <w:rsid w:val="00DD6EF7"/>
    <w:rsid w:val="00DE182C"/>
    <w:rsid w:val="00DE260A"/>
    <w:rsid w:val="00DE332D"/>
    <w:rsid w:val="00DE386D"/>
    <w:rsid w:val="00DE4757"/>
    <w:rsid w:val="00DF47FE"/>
    <w:rsid w:val="00DF54B1"/>
    <w:rsid w:val="00DF7B0F"/>
    <w:rsid w:val="00E034AD"/>
    <w:rsid w:val="00E05590"/>
    <w:rsid w:val="00E11C3F"/>
    <w:rsid w:val="00E13529"/>
    <w:rsid w:val="00E14F24"/>
    <w:rsid w:val="00E15509"/>
    <w:rsid w:val="00E15517"/>
    <w:rsid w:val="00E15EA2"/>
    <w:rsid w:val="00E264AB"/>
    <w:rsid w:val="00E26704"/>
    <w:rsid w:val="00E269D5"/>
    <w:rsid w:val="00E30D74"/>
    <w:rsid w:val="00E31980"/>
    <w:rsid w:val="00E338DE"/>
    <w:rsid w:val="00E33C1A"/>
    <w:rsid w:val="00E34623"/>
    <w:rsid w:val="00E42E82"/>
    <w:rsid w:val="00E43DDC"/>
    <w:rsid w:val="00E44334"/>
    <w:rsid w:val="00E449CB"/>
    <w:rsid w:val="00E44CBE"/>
    <w:rsid w:val="00E4661A"/>
    <w:rsid w:val="00E507F8"/>
    <w:rsid w:val="00E50DEE"/>
    <w:rsid w:val="00E52651"/>
    <w:rsid w:val="00E57BC0"/>
    <w:rsid w:val="00E63FC3"/>
    <w:rsid w:val="00E6423C"/>
    <w:rsid w:val="00E66FC2"/>
    <w:rsid w:val="00E767E8"/>
    <w:rsid w:val="00E769A0"/>
    <w:rsid w:val="00E821E1"/>
    <w:rsid w:val="00E8583E"/>
    <w:rsid w:val="00E937C7"/>
    <w:rsid w:val="00E93830"/>
    <w:rsid w:val="00E93E0E"/>
    <w:rsid w:val="00E95E00"/>
    <w:rsid w:val="00E974F1"/>
    <w:rsid w:val="00EA4411"/>
    <w:rsid w:val="00EB1ED3"/>
    <w:rsid w:val="00EB68DB"/>
    <w:rsid w:val="00EB6AB9"/>
    <w:rsid w:val="00EB7206"/>
    <w:rsid w:val="00EC10EF"/>
    <w:rsid w:val="00EC4791"/>
    <w:rsid w:val="00ED1506"/>
    <w:rsid w:val="00ED216F"/>
    <w:rsid w:val="00EE0608"/>
    <w:rsid w:val="00EE11DC"/>
    <w:rsid w:val="00EE1552"/>
    <w:rsid w:val="00EE232F"/>
    <w:rsid w:val="00EE395B"/>
    <w:rsid w:val="00EE5683"/>
    <w:rsid w:val="00EE7519"/>
    <w:rsid w:val="00EF1CBA"/>
    <w:rsid w:val="00F02936"/>
    <w:rsid w:val="00F077A9"/>
    <w:rsid w:val="00F10692"/>
    <w:rsid w:val="00F108F9"/>
    <w:rsid w:val="00F1359C"/>
    <w:rsid w:val="00F14D72"/>
    <w:rsid w:val="00F14EE9"/>
    <w:rsid w:val="00F15C49"/>
    <w:rsid w:val="00F21D94"/>
    <w:rsid w:val="00F23FD4"/>
    <w:rsid w:val="00F32769"/>
    <w:rsid w:val="00F34B6E"/>
    <w:rsid w:val="00F376CD"/>
    <w:rsid w:val="00F37A72"/>
    <w:rsid w:val="00F418D8"/>
    <w:rsid w:val="00F42BBF"/>
    <w:rsid w:val="00F4366F"/>
    <w:rsid w:val="00F4502F"/>
    <w:rsid w:val="00F4634C"/>
    <w:rsid w:val="00F471FC"/>
    <w:rsid w:val="00F5044D"/>
    <w:rsid w:val="00F5053A"/>
    <w:rsid w:val="00F50A1C"/>
    <w:rsid w:val="00F56202"/>
    <w:rsid w:val="00F722AA"/>
    <w:rsid w:val="00F73327"/>
    <w:rsid w:val="00F73962"/>
    <w:rsid w:val="00F87BB5"/>
    <w:rsid w:val="00F90E31"/>
    <w:rsid w:val="00F96816"/>
    <w:rsid w:val="00F97B64"/>
    <w:rsid w:val="00FA4856"/>
    <w:rsid w:val="00FA5720"/>
    <w:rsid w:val="00FA77FB"/>
    <w:rsid w:val="00FA7F4C"/>
    <w:rsid w:val="00FB5BFE"/>
    <w:rsid w:val="00FB687C"/>
    <w:rsid w:val="00FC1A47"/>
    <w:rsid w:val="00FC2301"/>
    <w:rsid w:val="00FC3B74"/>
    <w:rsid w:val="00FC5A7F"/>
    <w:rsid w:val="00FD1127"/>
    <w:rsid w:val="00FD5E96"/>
    <w:rsid w:val="00FD7882"/>
    <w:rsid w:val="00FE7A8E"/>
    <w:rsid w:val="00FE7BB0"/>
    <w:rsid w:val="00FE7CDF"/>
    <w:rsid w:val="00FF07F9"/>
    <w:rsid w:val="00FF5CA7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iri.trexler@czs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B392-D628-44B7-B4F7-86037B7F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1093</TotalTime>
  <Pages>10</Pages>
  <Words>1422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9799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operator</cp:lastModifiedBy>
  <cp:revision>87</cp:revision>
  <cp:lastPrinted>2014-10-08T12:30:00Z</cp:lastPrinted>
  <dcterms:created xsi:type="dcterms:W3CDTF">2015-01-07T09:42:00Z</dcterms:created>
  <dcterms:modified xsi:type="dcterms:W3CDTF">2015-01-13T09:17:00Z</dcterms:modified>
</cp:coreProperties>
</file>