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3B" w:rsidRPr="00EE763B" w:rsidRDefault="00CE1E3E" w:rsidP="00CE1E3E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EE763B" w:rsidRPr="00EE763B">
        <w:rPr>
          <w:rFonts w:ascii="Arial" w:hAnsi="Arial" w:cs="Arial"/>
          <w:b/>
          <w:sz w:val="24"/>
          <w:szCs w:val="24"/>
        </w:rPr>
        <w:t>M E T O D I C K É   V Y S V Ě T L I V K Y</w:t>
      </w:r>
    </w:p>
    <w:p w:rsidR="00EE763B" w:rsidRPr="00EE763B" w:rsidRDefault="00EE763B" w:rsidP="00EE763B">
      <w:pPr>
        <w:rPr>
          <w:rFonts w:ascii="Arial" w:hAnsi="Arial" w:cs="Arial"/>
          <w:sz w:val="20"/>
        </w:rPr>
      </w:pPr>
    </w:p>
    <w:p w:rsidR="00EE763B" w:rsidRP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b/>
          <w:sz w:val="20"/>
        </w:rPr>
        <w:t>Obce</w:t>
      </w:r>
      <w:r w:rsidRPr="00EE763B">
        <w:rPr>
          <w:rFonts w:ascii="Arial" w:hAnsi="Arial" w:cs="Arial"/>
          <w:sz w:val="20"/>
        </w:rPr>
        <w:t xml:space="preserve"> jsou uvedeny v územní struktuře platné k 1. 1. 201</w:t>
      </w:r>
      <w:r w:rsidR="0076331A">
        <w:rPr>
          <w:rFonts w:ascii="Arial" w:hAnsi="Arial" w:cs="Arial"/>
          <w:sz w:val="20"/>
        </w:rPr>
        <w:t>6</w:t>
      </w:r>
      <w:r w:rsidRPr="00EE763B">
        <w:rPr>
          <w:rFonts w:ascii="Arial" w:hAnsi="Arial" w:cs="Arial"/>
          <w:sz w:val="20"/>
        </w:rPr>
        <w:t>. Údaje o obcích vyjadřují stav roku 201</w:t>
      </w:r>
      <w:r w:rsidR="0076331A">
        <w:rPr>
          <w:rFonts w:ascii="Arial" w:hAnsi="Arial" w:cs="Arial"/>
          <w:sz w:val="20"/>
        </w:rPr>
        <w:t>5, pokud není uvedeno jinak.</w:t>
      </w:r>
    </w:p>
    <w:p w:rsidR="00EE763B" w:rsidRPr="00EE763B" w:rsidRDefault="00EE763B" w:rsidP="00EE763B">
      <w:pPr>
        <w:jc w:val="both"/>
        <w:rPr>
          <w:rFonts w:ascii="Arial" w:hAnsi="Arial" w:cs="Arial"/>
          <w:sz w:val="20"/>
        </w:rPr>
      </w:pPr>
    </w:p>
    <w:p w:rsid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b/>
          <w:sz w:val="20"/>
        </w:rPr>
        <w:t>Obec</w:t>
      </w:r>
      <w:r w:rsidRPr="00EE763B">
        <w:rPr>
          <w:rFonts w:ascii="Arial" w:hAnsi="Arial" w:cs="Arial"/>
          <w:sz w:val="20"/>
        </w:rPr>
        <w:t xml:space="preserve"> je základním územním samosprávným společenstvím občanů</w:t>
      </w:r>
      <w:r w:rsidR="00720CB9">
        <w:rPr>
          <w:rFonts w:ascii="Arial" w:hAnsi="Arial" w:cs="Arial"/>
          <w:sz w:val="20"/>
        </w:rPr>
        <w:t>.</w:t>
      </w:r>
      <w:r w:rsidRPr="00EE763B">
        <w:rPr>
          <w:rFonts w:ascii="Arial" w:hAnsi="Arial" w:cs="Arial"/>
          <w:sz w:val="20"/>
        </w:rPr>
        <w:t xml:space="preserve"> </w:t>
      </w:r>
      <w:r w:rsidR="00720CB9">
        <w:rPr>
          <w:rFonts w:ascii="Arial" w:hAnsi="Arial" w:cs="Arial"/>
          <w:sz w:val="20"/>
        </w:rPr>
        <w:t>T</w:t>
      </w:r>
      <w:r w:rsidRPr="00EE763B">
        <w:rPr>
          <w:rFonts w:ascii="Arial" w:hAnsi="Arial" w:cs="Arial"/>
          <w:sz w:val="20"/>
        </w:rPr>
        <w:t>voří územní celek, který je vymezen hranicí obce. Má jedno nebo více katastrálních území. Je veřejnoprávní korporací, má vlastní majetek. V právních vztazích vystupuje svým jménem a nese odpovědnost z těchto vztahů vyplývající. Za obce se považují (pro některé, mj. statistické účel</w:t>
      </w:r>
      <w:r w:rsidR="0076331A">
        <w:rPr>
          <w:rFonts w:ascii="Arial" w:hAnsi="Arial" w:cs="Arial"/>
          <w:sz w:val="20"/>
        </w:rPr>
        <w:t>y) také vojenské újezdy. V ČR jsou</w:t>
      </w:r>
      <w:r w:rsidRPr="00EE763B">
        <w:rPr>
          <w:rFonts w:ascii="Arial" w:hAnsi="Arial" w:cs="Arial"/>
          <w:sz w:val="20"/>
        </w:rPr>
        <w:t xml:space="preserve"> </w:t>
      </w:r>
      <w:r w:rsidR="0076331A">
        <w:rPr>
          <w:rFonts w:ascii="Arial" w:hAnsi="Arial" w:cs="Arial"/>
          <w:sz w:val="20"/>
        </w:rPr>
        <w:t>4</w:t>
      </w:r>
      <w:r w:rsidRPr="00EE763B">
        <w:rPr>
          <w:rFonts w:ascii="Arial" w:hAnsi="Arial" w:cs="Arial"/>
          <w:sz w:val="20"/>
        </w:rPr>
        <w:t xml:space="preserve"> vojensk</w:t>
      </w:r>
      <w:r w:rsidR="0076331A">
        <w:rPr>
          <w:rFonts w:ascii="Arial" w:hAnsi="Arial" w:cs="Arial"/>
          <w:sz w:val="20"/>
        </w:rPr>
        <w:t>é</w:t>
      </w:r>
      <w:r w:rsidRPr="00EE763B">
        <w:rPr>
          <w:rFonts w:ascii="Arial" w:hAnsi="Arial" w:cs="Arial"/>
          <w:sz w:val="20"/>
        </w:rPr>
        <w:t xml:space="preserve"> újezd</w:t>
      </w:r>
      <w:r w:rsidR="0076331A">
        <w:rPr>
          <w:rFonts w:ascii="Arial" w:hAnsi="Arial" w:cs="Arial"/>
          <w:sz w:val="20"/>
        </w:rPr>
        <w:t>y</w:t>
      </w:r>
      <w:r w:rsidRPr="00EE763B">
        <w:rPr>
          <w:rFonts w:ascii="Arial" w:hAnsi="Arial" w:cs="Arial"/>
          <w:sz w:val="20"/>
        </w:rPr>
        <w:t xml:space="preserve">: </w:t>
      </w:r>
      <w:proofErr w:type="spellStart"/>
      <w:r w:rsidRPr="00EE763B">
        <w:rPr>
          <w:rFonts w:ascii="Arial" w:hAnsi="Arial" w:cs="Arial"/>
          <w:sz w:val="20"/>
        </w:rPr>
        <w:t>Boletice</w:t>
      </w:r>
      <w:proofErr w:type="spellEnd"/>
      <w:r w:rsidRPr="00EE763B">
        <w:rPr>
          <w:rFonts w:ascii="Arial" w:hAnsi="Arial" w:cs="Arial"/>
          <w:sz w:val="20"/>
        </w:rPr>
        <w:t xml:space="preserve">, Hradiště, Březina a </w:t>
      </w:r>
      <w:proofErr w:type="spellStart"/>
      <w:r w:rsidRPr="00EE763B">
        <w:rPr>
          <w:rFonts w:ascii="Arial" w:hAnsi="Arial" w:cs="Arial"/>
          <w:sz w:val="20"/>
        </w:rPr>
        <w:t>Libavá</w:t>
      </w:r>
      <w:proofErr w:type="spellEnd"/>
      <w:r w:rsidRPr="00EE763B">
        <w:rPr>
          <w:rFonts w:ascii="Arial" w:hAnsi="Arial" w:cs="Arial"/>
          <w:sz w:val="20"/>
        </w:rPr>
        <w:t>. K 1. lednu 201</w:t>
      </w:r>
      <w:r w:rsidR="0076331A">
        <w:rPr>
          <w:rFonts w:ascii="Arial" w:hAnsi="Arial" w:cs="Arial"/>
          <w:sz w:val="20"/>
        </w:rPr>
        <w:t>6</w:t>
      </w:r>
      <w:r w:rsidRPr="00EE763B">
        <w:rPr>
          <w:rFonts w:ascii="Arial" w:hAnsi="Arial" w:cs="Arial"/>
          <w:sz w:val="20"/>
        </w:rPr>
        <w:t xml:space="preserve"> v České republice existovalo 6 25</w:t>
      </w:r>
      <w:r w:rsidR="0076331A">
        <w:rPr>
          <w:rFonts w:ascii="Arial" w:hAnsi="Arial" w:cs="Arial"/>
          <w:sz w:val="20"/>
        </w:rPr>
        <w:t>8</w:t>
      </w:r>
      <w:r w:rsidRPr="00EE763B">
        <w:rPr>
          <w:rFonts w:ascii="Arial" w:hAnsi="Arial" w:cs="Arial"/>
          <w:sz w:val="20"/>
        </w:rPr>
        <w:t xml:space="preserve"> obcí. Obce se zvláštním postavením jsou v lexikonu zvýrazněny: </w:t>
      </w:r>
      <w:r w:rsidRPr="00EE763B">
        <w:rPr>
          <w:rFonts w:ascii="Arial" w:hAnsi="Arial" w:cs="Arial"/>
          <w:b/>
          <w:sz w:val="20"/>
        </w:rPr>
        <w:t>statutární města</w:t>
      </w:r>
      <w:r w:rsidRPr="00EE763B">
        <w:rPr>
          <w:rFonts w:ascii="Arial" w:hAnsi="Arial" w:cs="Arial"/>
          <w:sz w:val="20"/>
        </w:rPr>
        <w:t xml:space="preserve"> velkými písmeny, </w:t>
      </w:r>
      <w:r w:rsidRPr="00EE763B">
        <w:rPr>
          <w:rFonts w:ascii="Arial" w:hAnsi="Arial" w:cs="Arial"/>
          <w:b/>
          <w:sz w:val="20"/>
        </w:rPr>
        <w:t>města</w:t>
      </w:r>
      <w:r w:rsidRPr="00EE763B">
        <w:rPr>
          <w:rFonts w:ascii="Arial" w:hAnsi="Arial" w:cs="Arial"/>
          <w:sz w:val="20"/>
        </w:rPr>
        <w:t xml:space="preserve"> tučně, </w:t>
      </w:r>
      <w:r w:rsidRPr="00EE763B">
        <w:rPr>
          <w:rFonts w:ascii="Arial" w:hAnsi="Arial" w:cs="Arial"/>
          <w:b/>
          <w:sz w:val="20"/>
        </w:rPr>
        <w:t>městyse</w:t>
      </w:r>
      <w:r w:rsidRPr="00EE763B">
        <w:rPr>
          <w:rFonts w:ascii="Arial" w:hAnsi="Arial" w:cs="Arial"/>
          <w:sz w:val="20"/>
        </w:rPr>
        <w:t xml:space="preserve"> tučnou kurzívou. V lexikonu jsou také uvedeny </w:t>
      </w:r>
      <w:r w:rsidRPr="00EE763B">
        <w:rPr>
          <w:rFonts w:ascii="Arial" w:hAnsi="Arial" w:cs="Arial"/>
          <w:b/>
          <w:sz w:val="20"/>
        </w:rPr>
        <w:t>městské části (městské obvody)</w:t>
      </w:r>
      <w:r w:rsidRPr="00EE763B">
        <w:rPr>
          <w:rFonts w:ascii="Arial" w:hAnsi="Arial" w:cs="Arial"/>
          <w:sz w:val="20"/>
        </w:rPr>
        <w:t xml:space="preserve"> hlavního města Prahy a statutárních </w:t>
      </w:r>
      <w:proofErr w:type="gramStart"/>
      <w:r w:rsidRPr="00EE763B">
        <w:rPr>
          <w:rFonts w:ascii="Arial" w:hAnsi="Arial" w:cs="Arial"/>
          <w:sz w:val="20"/>
        </w:rPr>
        <w:t>měst  Brno</w:t>
      </w:r>
      <w:proofErr w:type="gramEnd"/>
      <w:r w:rsidRPr="00EE763B">
        <w:rPr>
          <w:rFonts w:ascii="Arial" w:hAnsi="Arial" w:cs="Arial"/>
          <w:sz w:val="20"/>
        </w:rPr>
        <w:t>, Liberec, Opava, Ostrava, Plzeň, Pardubice a Ústí nad Labem.</w:t>
      </w:r>
    </w:p>
    <w:p w:rsidR="00EE763B" w:rsidRPr="00EE763B" w:rsidRDefault="00EE763B" w:rsidP="00773E72">
      <w:pPr>
        <w:pStyle w:val="Odstavecseseznamem"/>
        <w:ind w:left="527" w:hanging="170"/>
        <w:jc w:val="both"/>
        <w:rPr>
          <w:rFonts w:ascii="Arial" w:hAnsi="Arial" w:cs="Arial"/>
          <w:sz w:val="20"/>
        </w:rPr>
      </w:pPr>
    </w:p>
    <w:p w:rsid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b/>
          <w:sz w:val="20"/>
        </w:rPr>
        <w:t>Obce s rozšířenou působností</w:t>
      </w:r>
      <w:r w:rsidRPr="00EE763B">
        <w:rPr>
          <w:rFonts w:ascii="Arial" w:hAnsi="Arial" w:cs="Arial"/>
          <w:sz w:val="20"/>
        </w:rPr>
        <w:t xml:space="preserve"> (ORP) jsou stanoveny zákonem 314/2002 ze dne 13. 6. 2002. Příslušnost obcí k obcím s rozšířenou působností je dána vyhláškou MV č. 388/2004 Sb. ze dne 24. 6. 2004, kterou se mění vyhláška č. 388/2002 Sb., o stanovení správních obvodů obcí s pověřeným obecním úřadem a správních obvodů obcí s rozšířenou působností.  Hlavní město Praha má uvedenu příslušnost městské části do správních obvodů (tj. do Prahy 1 až 22, kdy úřady těchto městských částí vykonávají velkou část státní správy pro obyvatele zbylých 35 městských částí). </w:t>
      </w:r>
    </w:p>
    <w:p w:rsidR="00EE763B" w:rsidRPr="00EE763B" w:rsidRDefault="00EE763B" w:rsidP="00773E72">
      <w:pPr>
        <w:pStyle w:val="Odstavecseseznamem"/>
        <w:ind w:left="527" w:hanging="170"/>
        <w:jc w:val="both"/>
        <w:rPr>
          <w:rFonts w:ascii="Arial" w:hAnsi="Arial" w:cs="Arial"/>
          <w:sz w:val="20"/>
        </w:rPr>
      </w:pPr>
    </w:p>
    <w:p w:rsid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b/>
          <w:sz w:val="20"/>
        </w:rPr>
        <w:t>Část obce</w:t>
      </w:r>
      <w:r w:rsidRPr="00EE763B">
        <w:rPr>
          <w:rFonts w:ascii="Arial" w:hAnsi="Arial" w:cs="Arial"/>
          <w:sz w:val="20"/>
        </w:rPr>
        <w:t xml:space="preserve"> je možno definovat dvojím způsobem. Jedná se o jednotku územního členění státu, která je publikována v rámci úředního seznamu obcí a jejich částí (tj. ve Statistickém lexikonu obcí České republiky 2005). Pokud se obec nečlení na části, je pro potřeby statistiky považována za jednu část obce. Z věcného hlediska se jedná o skupinu domů se společným názvem, označených čísly popisnými z jedné číselné řady. Ve městech Praha, Brno, Plzeň, Pardubice a Opava jsou některé části obce děleny hranicí městské části nebo městského obvodu, a tak vznikají </w:t>
      </w:r>
      <w:r w:rsidRPr="00EE763B">
        <w:rPr>
          <w:rFonts w:ascii="Arial" w:hAnsi="Arial" w:cs="Arial"/>
          <w:b/>
          <w:sz w:val="20"/>
        </w:rPr>
        <w:t>díly části obce</w:t>
      </w:r>
      <w:r w:rsidRPr="00EE763B">
        <w:rPr>
          <w:rFonts w:ascii="Arial" w:hAnsi="Arial" w:cs="Arial"/>
          <w:sz w:val="20"/>
        </w:rPr>
        <w:t xml:space="preserve"> – části obce statistické. Za správní a územní celky kraj, okres, správní obvod ORP a obec je v tabulkách uváděn počet částí </w:t>
      </w:r>
      <w:proofErr w:type="gramStart"/>
      <w:r w:rsidRPr="00EE763B">
        <w:rPr>
          <w:rFonts w:ascii="Arial" w:hAnsi="Arial" w:cs="Arial"/>
          <w:sz w:val="20"/>
        </w:rPr>
        <w:t>obce,  za</w:t>
      </w:r>
      <w:proofErr w:type="gramEnd"/>
      <w:r w:rsidRPr="00EE763B">
        <w:rPr>
          <w:rFonts w:ascii="Arial" w:hAnsi="Arial" w:cs="Arial"/>
          <w:sz w:val="20"/>
        </w:rPr>
        <w:t xml:space="preserve"> městské části a městské obvody výše uvedených měst je uveden počet dílů částí obce.</w:t>
      </w:r>
    </w:p>
    <w:p w:rsidR="00EE763B" w:rsidRPr="00EE763B" w:rsidRDefault="00EE763B" w:rsidP="00773E72">
      <w:pPr>
        <w:pStyle w:val="Odstavecseseznamem"/>
        <w:ind w:left="527" w:hanging="170"/>
        <w:rPr>
          <w:rFonts w:ascii="Arial" w:hAnsi="Arial" w:cs="Arial"/>
          <w:sz w:val="20"/>
        </w:rPr>
      </w:pPr>
    </w:p>
    <w:p w:rsid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b/>
          <w:sz w:val="20"/>
        </w:rPr>
        <w:t>Katastrální území</w:t>
      </w:r>
      <w:r w:rsidRPr="00EE763B">
        <w:rPr>
          <w:rFonts w:ascii="Arial" w:hAnsi="Arial" w:cs="Arial"/>
          <w:sz w:val="20"/>
        </w:rPr>
        <w:t xml:space="preserve"> tvoří plošně souvislý a společně evidovaný soubor pozemků (parcel). Katastrální území pokrývají celé území státu. Kromě katastrálních území se občas používají ještě tzv. územně technické jednotky</w:t>
      </w:r>
      <w:r w:rsidR="00720CB9">
        <w:rPr>
          <w:rFonts w:ascii="Arial" w:hAnsi="Arial" w:cs="Arial"/>
          <w:sz w:val="20"/>
        </w:rPr>
        <w:t xml:space="preserve"> (UTJ)</w:t>
      </w:r>
      <w:r w:rsidRPr="00EE763B">
        <w:rPr>
          <w:rFonts w:ascii="Arial" w:hAnsi="Arial" w:cs="Arial"/>
          <w:sz w:val="20"/>
        </w:rPr>
        <w:t>, které jsou totožné s katastrálními územími, s výjimkou těch katastrálních území, která jsou dělena hranicí městské části - městského obvodu (např. v Praze, Brně, Plzni).</w:t>
      </w:r>
    </w:p>
    <w:p w:rsidR="00EE763B" w:rsidRPr="00EE763B" w:rsidRDefault="00EE763B" w:rsidP="00773E72">
      <w:pPr>
        <w:pStyle w:val="Odstavecseseznamem"/>
        <w:ind w:left="527" w:hanging="170"/>
        <w:jc w:val="both"/>
        <w:rPr>
          <w:rFonts w:ascii="Arial" w:hAnsi="Arial" w:cs="Arial"/>
          <w:sz w:val="20"/>
        </w:rPr>
      </w:pPr>
    </w:p>
    <w:p w:rsid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b/>
          <w:sz w:val="20"/>
        </w:rPr>
        <w:t>Katastrální výměra</w:t>
      </w:r>
      <w:r w:rsidRPr="00EE763B">
        <w:rPr>
          <w:rFonts w:ascii="Arial" w:hAnsi="Arial" w:cs="Arial"/>
          <w:sz w:val="20"/>
        </w:rPr>
        <w:t xml:space="preserve"> je plocha katastrálního území obce. Ve městech Praha, Brno, Opava, Pardubice, Plzeň a Ústí nad Labem je výměra uvedena i v těch městských částech, kterým nebylo vymezeno katastrální území (dělené katastry). V těchto případech se jedná o odhadnuté výměry dle GIS jako součet výměr ÚTJ na základě hodnot výměr katastrálních území podle údajů </w:t>
      </w:r>
      <w:r w:rsidR="009303EB">
        <w:rPr>
          <w:rFonts w:ascii="Arial" w:hAnsi="Arial" w:cs="Arial"/>
          <w:sz w:val="20"/>
        </w:rPr>
        <w:t>Českého úřadu z</w:t>
      </w:r>
      <w:r w:rsidRPr="00EE763B">
        <w:rPr>
          <w:rFonts w:ascii="Arial" w:hAnsi="Arial" w:cs="Arial"/>
          <w:sz w:val="20"/>
        </w:rPr>
        <w:t xml:space="preserve">eměměřického </w:t>
      </w:r>
      <w:r w:rsidR="009303EB">
        <w:rPr>
          <w:rFonts w:ascii="Arial" w:hAnsi="Arial" w:cs="Arial"/>
          <w:sz w:val="20"/>
        </w:rPr>
        <w:t>a katastrálního (ČÚZK)</w:t>
      </w:r>
      <w:r w:rsidRPr="00EE763B">
        <w:rPr>
          <w:rFonts w:ascii="Arial" w:hAnsi="Arial" w:cs="Arial"/>
          <w:sz w:val="20"/>
        </w:rPr>
        <w:t xml:space="preserve"> a podle grafických vrstev registru sčítacích obvodů k 1. 1. 201</w:t>
      </w:r>
      <w:r w:rsidR="0076331A">
        <w:rPr>
          <w:rFonts w:ascii="Arial" w:hAnsi="Arial" w:cs="Arial"/>
          <w:sz w:val="20"/>
        </w:rPr>
        <w:t>6</w:t>
      </w:r>
      <w:r w:rsidRPr="00EE763B">
        <w:rPr>
          <w:rFonts w:ascii="Arial" w:hAnsi="Arial" w:cs="Arial"/>
          <w:sz w:val="20"/>
        </w:rPr>
        <w:t>. Údaje za obce byly převzaty od Č</w:t>
      </w:r>
      <w:r w:rsidR="009303EB">
        <w:rPr>
          <w:rFonts w:ascii="Arial" w:hAnsi="Arial" w:cs="Arial"/>
          <w:sz w:val="20"/>
        </w:rPr>
        <w:t>ÚZK</w:t>
      </w:r>
      <w:r w:rsidRPr="00EE763B">
        <w:rPr>
          <w:rFonts w:ascii="Arial" w:hAnsi="Arial" w:cs="Arial"/>
          <w:sz w:val="20"/>
        </w:rPr>
        <w:t xml:space="preserve"> k 31. 12. 201</w:t>
      </w:r>
      <w:r w:rsidR="0076331A">
        <w:rPr>
          <w:rFonts w:ascii="Arial" w:hAnsi="Arial" w:cs="Arial"/>
          <w:sz w:val="20"/>
        </w:rPr>
        <w:t>5</w:t>
      </w:r>
      <w:r w:rsidRPr="00EE763B">
        <w:rPr>
          <w:rFonts w:ascii="Arial" w:hAnsi="Arial" w:cs="Arial"/>
          <w:sz w:val="20"/>
        </w:rPr>
        <w:t>. V sumarizačních tabulkách za okresy a kraje se uvádí oficiální výměra okresu (kraje), která je přebírána z Č</w:t>
      </w:r>
      <w:r w:rsidR="009303EB">
        <w:rPr>
          <w:rFonts w:ascii="Arial" w:hAnsi="Arial" w:cs="Arial"/>
          <w:sz w:val="20"/>
        </w:rPr>
        <w:t>ÚZK</w:t>
      </w:r>
      <w:r w:rsidRPr="00EE763B">
        <w:rPr>
          <w:rFonts w:ascii="Arial" w:hAnsi="Arial" w:cs="Arial"/>
          <w:sz w:val="20"/>
        </w:rPr>
        <w:t>.</w:t>
      </w:r>
    </w:p>
    <w:p w:rsidR="00EE763B" w:rsidRPr="00EE763B" w:rsidRDefault="00EE763B" w:rsidP="00773E72">
      <w:pPr>
        <w:pStyle w:val="Odstavecseseznamem"/>
        <w:ind w:left="527" w:hanging="170"/>
        <w:rPr>
          <w:rFonts w:ascii="Arial" w:hAnsi="Arial" w:cs="Arial"/>
          <w:sz w:val="20"/>
        </w:rPr>
      </w:pPr>
    </w:p>
    <w:p w:rsidR="00773E72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sz w:val="20"/>
        </w:rPr>
        <w:t xml:space="preserve">Údaje o </w:t>
      </w:r>
      <w:r w:rsidRPr="00EE763B">
        <w:rPr>
          <w:rFonts w:ascii="Arial" w:hAnsi="Arial" w:cs="Arial"/>
          <w:b/>
          <w:sz w:val="20"/>
        </w:rPr>
        <w:t>počtu obyvatel</w:t>
      </w:r>
      <w:r w:rsidRPr="00EE763B">
        <w:rPr>
          <w:rFonts w:ascii="Arial" w:hAnsi="Arial" w:cs="Arial"/>
          <w:sz w:val="20"/>
        </w:rPr>
        <w:t xml:space="preserve"> byly převzaty z</w:t>
      </w:r>
      <w:r w:rsidR="00337B42">
        <w:rPr>
          <w:rFonts w:ascii="Arial" w:hAnsi="Arial" w:cs="Arial"/>
          <w:sz w:val="20"/>
        </w:rPr>
        <w:t xml:space="preserve"> průběžné </w:t>
      </w:r>
      <w:r w:rsidRPr="00EE763B">
        <w:rPr>
          <w:rFonts w:ascii="Arial" w:hAnsi="Arial" w:cs="Arial"/>
          <w:sz w:val="20"/>
        </w:rPr>
        <w:t>bilance obyvatelstva k 31. 12. 201</w:t>
      </w:r>
      <w:r w:rsidR="0076331A">
        <w:rPr>
          <w:rFonts w:ascii="Arial" w:hAnsi="Arial" w:cs="Arial"/>
          <w:sz w:val="20"/>
        </w:rPr>
        <w:t>5</w:t>
      </w:r>
      <w:r w:rsidRPr="00EE763B">
        <w:rPr>
          <w:rFonts w:ascii="Arial" w:hAnsi="Arial" w:cs="Arial"/>
          <w:sz w:val="20"/>
        </w:rPr>
        <w:t xml:space="preserve"> a přepočteny na územní strukturu platnou k 1. 1. 201</w:t>
      </w:r>
      <w:r w:rsidR="0076331A">
        <w:rPr>
          <w:rFonts w:ascii="Arial" w:hAnsi="Arial" w:cs="Arial"/>
          <w:sz w:val="20"/>
        </w:rPr>
        <w:t>6</w:t>
      </w:r>
      <w:r w:rsidRPr="00EE763B">
        <w:rPr>
          <w:rFonts w:ascii="Arial" w:hAnsi="Arial" w:cs="Arial"/>
          <w:sz w:val="20"/>
        </w:rPr>
        <w:t xml:space="preserve">.  Údaje o počtu obyvatel k uvedenému datu v městských částech (obvodech) statutárních měst Brno, Liberec, Opava, Ostrava, Plzeň, Pardubice a Ústí nad Labem nejsou k dispozici, proto je uveden počet obyvatel obvykle bydlících ze sčítání k 26. 3. 2011. </w:t>
      </w:r>
    </w:p>
    <w:p w:rsidR="009434EB" w:rsidRDefault="009434EB" w:rsidP="009434EB">
      <w:pPr>
        <w:pStyle w:val="Odstavecseseznamem"/>
        <w:rPr>
          <w:rFonts w:ascii="Arial" w:hAnsi="Arial" w:cs="Arial"/>
          <w:sz w:val="20"/>
        </w:rPr>
      </w:pPr>
    </w:p>
    <w:p w:rsidR="0076331A" w:rsidRDefault="0076331A" w:rsidP="0076331A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b/>
          <w:sz w:val="20"/>
        </w:rPr>
        <w:t>Matriční úřad</w:t>
      </w:r>
      <w:r w:rsidRPr="00EE763B">
        <w:rPr>
          <w:rFonts w:ascii="Arial" w:hAnsi="Arial" w:cs="Arial"/>
          <w:sz w:val="20"/>
        </w:rPr>
        <w:t xml:space="preserve"> je úřad, který vede matriku. Může jím být obecní úřad, úřad městské části nebo městského obvodu v územně členěných statutárních městech anebo újezdní úřad ve vojenských újezdech, vždy ale jen pro svůj vymezený územní obvod. Seznam matričních úřadů a vymezení jejich správních obvodů obsahuje příloha č. 1 vyhlášky Ministerstva vnitra č. 660/2004 Sb.</w:t>
      </w:r>
    </w:p>
    <w:p w:rsidR="00AC2F03" w:rsidRDefault="00AC2F03" w:rsidP="00AC2F03">
      <w:pPr>
        <w:pStyle w:val="Odstavecseseznamem"/>
        <w:ind w:left="0"/>
        <w:jc w:val="both"/>
        <w:rPr>
          <w:rFonts w:ascii="Arial" w:hAnsi="Arial" w:cs="Arial"/>
          <w:sz w:val="20"/>
        </w:rPr>
      </w:pPr>
    </w:p>
    <w:p w:rsid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b/>
          <w:sz w:val="20"/>
        </w:rPr>
        <w:t>Pošta</w:t>
      </w:r>
      <w:r w:rsidRPr="00EE763B">
        <w:rPr>
          <w:rFonts w:ascii="Arial" w:hAnsi="Arial" w:cs="Arial"/>
          <w:sz w:val="20"/>
        </w:rPr>
        <w:t xml:space="preserve"> zajišťuje komplexní poštovní služby (podání, přepravu a dodání po</w:t>
      </w:r>
      <w:r w:rsidR="009303EB">
        <w:rPr>
          <w:rFonts w:ascii="Arial" w:hAnsi="Arial" w:cs="Arial"/>
          <w:sz w:val="20"/>
        </w:rPr>
        <w:t>štovních zásilek a další služby.</w:t>
      </w:r>
      <w:r w:rsidRPr="00EE763B">
        <w:rPr>
          <w:rFonts w:ascii="Arial" w:hAnsi="Arial" w:cs="Arial"/>
          <w:sz w:val="20"/>
        </w:rPr>
        <w:t xml:space="preserve"> Má vlastní poštovní směrovací číslo. Data jsou převzata z webových stránek České pošty. </w:t>
      </w:r>
    </w:p>
    <w:p w:rsidR="009303EB" w:rsidRDefault="009303EB" w:rsidP="009303EB">
      <w:pPr>
        <w:pStyle w:val="Odstavecseseznamem"/>
        <w:rPr>
          <w:rFonts w:ascii="Arial" w:hAnsi="Arial" w:cs="Arial"/>
          <w:sz w:val="20"/>
        </w:rPr>
      </w:pPr>
    </w:p>
    <w:p w:rsidR="009303EB" w:rsidRDefault="009303EB" w:rsidP="009303EB">
      <w:pPr>
        <w:pStyle w:val="Odstavecseseznamem"/>
        <w:jc w:val="both"/>
        <w:rPr>
          <w:rFonts w:ascii="Arial" w:hAnsi="Arial" w:cs="Arial"/>
          <w:sz w:val="20"/>
        </w:rPr>
      </w:pPr>
    </w:p>
    <w:p w:rsid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sz w:val="20"/>
        </w:rPr>
        <w:lastRenderedPageBreak/>
        <w:t xml:space="preserve">Do </w:t>
      </w:r>
      <w:r w:rsidRPr="00EE763B">
        <w:rPr>
          <w:rFonts w:ascii="Arial" w:hAnsi="Arial" w:cs="Arial"/>
          <w:b/>
          <w:sz w:val="20"/>
        </w:rPr>
        <w:t>základních škol</w:t>
      </w:r>
      <w:r w:rsidRPr="00EE763B">
        <w:rPr>
          <w:rFonts w:ascii="Arial" w:hAnsi="Arial" w:cs="Arial"/>
          <w:sz w:val="20"/>
        </w:rPr>
        <w:t xml:space="preserve"> jsou započítávána všechna zařízení základního školství (devítiletky i školy pouze s 1. či 2. stupněm vzdělání). Školy pouze s 1. či 2. stupněm vzdělání jsou označeny *, devítiletky jsou označeny 1. Pokud jsou v obci oba typy škol, je vyznačen vyšší typ (1). Data jsou převzata ze základní databáze </w:t>
      </w:r>
      <w:r w:rsidR="006215AE">
        <w:rPr>
          <w:rFonts w:ascii="Arial" w:hAnsi="Arial" w:cs="Arial"/>
          <w:sz w:val="20"/>
        </w:rPr>
        <w:t>Ministerstva školství, mládeže a tělovýchovy</w:t>
      </w:r>
      <w:r w:rsidR="009303EB">
        <w:rPr>
          <w:rFonts w:ascii="Arial" w:hAnsi="Arial" w:cs="Arial"/>
          <w:sz w:val="20"/>
        </w:rPr>
        <w:t xml:space="preserve"> </w:t>
      </w:r>
      <w:r w:rsidR="00BB2AB6">
        <w:rPr>
          <w:rFonts w:ascii="Arial" w:hAnsi="Arial" w:cs="Arial"/>
          <w:sz w:val="20"/>
        </w:rPr>
        <w:t>ČR</w:t>
      </w:r>
      <w:r w:rsidRPr="00EE763B">
        <w:rPr>
          <w:rFonts w:ascii="Arial" w:hAnsi="Arial" w:cs="Arial"/>
          <w:sz w:val="20"/>
        </w:rPr>
        <w:t>, podle možností doplněna šetřením pracovníků oddělení informačních služeb Krajských správ Českého statistického úřadu.</w:t>
      </w:r>
    </w:p>
    <w:p w:rsidR="00EE763B" w:rsidRPr="00EE763B" w:rsidRDefault="00EE763B" w:rsidP="00773E72">
      <w:pPr>
        <w:ind w:left="527" w:hanging="170"/>
        <w:jc w:val="both"/>
        <w:rPr>
          <w:rFonts w:ascii="Arial" w:hAnsi="Arial" w:cs="Arial"/>
          <w:sz w:val="20"/>
        </w:rPr>
      </w:pPr>
    </w:p>
    <w:p w:rsidR="00EE763B" w:rsidRPr="00EE763B" w:rsidRDefault="00EE763B" w:rsidP="00773E72">
      <w:pPr>
        <w:pStyle w:val="Odstavecseseznamem"/>
        <w:numPr>
          <w:ilvl w:val="0"/>
          <w:numId w:val="1"/>
        </w:numPr>
        <w:ind w:left="527" w:hanging="170"/>
        <w:jc w:val="both"/>
        <w:rPr>
          <w:rFonts w:ascii="Arial" w:hAnsi="Arial" w:cs="Arial"/>
          <w:sz w:val="20"/>
        </w:rPr>
      </w:pPr>
      <w:r w:rsidRPr="00EE763B">
        <w:rPr>
          <w:rFonts w:ascii="Arial" w:hAnsi="Arial" w:cs="Arial"/>
          <w:b/>
          <w:sz w:val="20"/>
        </w:rPr>
        <w:t>Zdravotnickým zařízením</w:t>
      </w:r>
      <w:r w:rsidRPr="00EE763B">
        <w:rPr>
          <w:rFonts w:ascii="Arial" w:hAnsi="Arial" w:cs="Arial"/>
          <w:sz w:val="20"/>
        </w:rPr>
        <w:t xml:space="preserve"> se rozumí sdružená ambulantní zařízení, ambulantní zařízení, nemocnice, odborné léčebné ústavy včetně léčeben dlouhodobě nemocných, ostatní lůžková zařízení, samostatné ordinace lékařů a ostatní samostatná zařízení včetně detašovaných pracovišť. Data jsou převzata ze základní databáze Ústavu zdravotnických informací a statistiky ČR</w:t>
      </w:r>
      <w:r w:rsidR="009303EB">
        <w:rPr>
          <w:rFonts w:ascii="Arial" w:hAnsi="Arial" w:cs="Arial"/>
          <w:sz w:val="20"/>
        </w:rPr>
        <w:t>,</w:t>
      </w:r>
      <w:r w:rsidRPr="00EE763B">
        <w:rPr>
          <w:rFonts w:ascii="Arial" w:hAnsi="Arial" w:cs="Arial"/>
          <w:sz w:val="20"/>
        </w:rPr>
        <w:t xml:space="preserve"> podle možností doplněná šetřením pracovníků oddělení informačních služeb Krajských správ Českého statistického úřadu.</w:t>
      </w:r>
    </w:p>
    <w:p w:rsidR="00157224" w:rsidRDefault="00157224">
      <w:pPr>
        <w:rPr>
          <w:rFonts w:ascii="Arial" w:hAnsi="Arial" w:cs="Arial"/>
          <w:sz w:val="20"/>
        </w:rPr>
      </w:pPr>
    </w:p>
    <w:p w:rsidR="00BE73B6" w:rsidRDefault="00BE73B6" w:rsidP="00BE73B6">
      <w:pPr>
        <w:pStyle w:val="Odstavecseseznamem"/>
        <w:ind w:left="527"/>
        <w:jc w:val="both"/>
        <w:rPr>
          <w:rFonts w:ascii="Arial" w:hAnsi="Arial" w:cs="Arial"/>
          <w:b/>
          <w:sz w:val="20"/>
        </w:rPr>
      </w:pPr>
    </w:p>
    <w:p w:rsidR="00BE73B6" w:rsidRDefault="00BE73B6" w:rsidP="00D8754E">
      <w:pPr>
        <w:pStyle w:val="Odstavecseseznamem"/>
        <w:ind w:left="0"/>
        <w:jc w:val="both"/>
        <w:rPr>
          <w:rFonts w:ascii="Arial" w:hAnsi="Arial" w:cs="Arial"/>
          <w:sz w:val="20"/>
        </w:rPr>
      </w:pPr>
    </w:p>
    <w:p w:rsidR="00BE73B6" w:rsidRPr="00EE763B" w:rsidRDefault="00BE73B6">
      <w:pPr>
        <w:rPr>
          <w:rFonts w:ascii="Arial" w:hAnsi="Arial" w:cs="Arial"/>
          <w:sz w:val="20"/>
        </w:rPr>
      </w:pPr>
    </w:p>
    <w:sectPr w:rsidR="00BE73B6" w:rsidRPr="00EE763B" w:rsidSect="00BF6322">
      <w:pgSz w:w="11906" w:h="16838"/>
      <w:pgMar w:top="1418" w:right="1134" w:bottom="141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1A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C3762A6"/>
    <w:multiLevelType w:val="hybridMultilevel"/>
    <w:tmpl w:val="F050AFF8"/>
    <w:lvl w:ilvl="0" w:tplc="D6D07048">
      <w:start w:val="1"/>
      <w:numFmt w:val="decimal"/>
      <w:lvlText w:val="%1."/>
      <w:lvlJc w:val="left"/>
      <w:pPr>
        <w:ind w:left="1065" w:hanging="705"/>
      </w:pPr>
      <w:rPr>
        <w:rFonts w:ascii="Calibri" w:hAnsi="Calibr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42DF8"/>
    <w:multiLevelType w:val="hybridMultilevel"/>
    <w:tmpl w:val="1F22DE0A"/>
    <w:lvl w:ilvl="0" w:tplc="78CC8F3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63B"/>
    <w:rsid w:val="000D3C0C"/>
    <w:rsid w:val="00157224"/>
    <w:rsid w:val="002636E2"/>
    <w:rsid w:val="00337B42"/>
    <w:rsid w:val="003922D9"/>
    <w:rsid w:val="003C7CBC"/>
    <w:rsid w:val="005A1D70"/>
    <w:rsid w:val="006117E6"/>
    <w:rsid w:val="006215AE"/>
    <w:rsid w:val="00655ED2"/>
    <w:rsid w:val="006B512A"/>
    <w:rsid w:val="006B69F7"/>
    <w:rsid w:val="00720CB9"/>
    <w:rsid w:val="00761276"/>
    <w:rsid w:val="0076331A"/>
    <w:rsid w:val="007657EF"/>
    <w:rsid w:val="00773E72"/>
    <w:rsid w:val="008343AA"/>
    <w:rsid w:val="00835A44"/>
    <w:rsid w:val="008C3EEF"/>
    <w:rsid w:val="009303EB"/>
    <w:rsid w:val="009434EB"/>
    <w:rsid w:val="009E0020"/>
    <w:rsid w:val="00A76B2B"/>
    <w:rsid w:val="00AC2F03"/>
    <w:rsid w:val="00B42E60"/>
    <w:rsid w:val="00BB2AB6"/>
    <w:rsid w:val="00BE73B6"/>
    <w:rsid w:val="00BF6322"/>
    <w:rsid w:val="00C6540A"/>
    <w:rsid w:val="00CB3E75"/>
    <w:rsid w:val="00CE1E3E"/>
    <w:rsid w:val="00D678B6"/>
    <w:rsid w:val="00D8754E"/>
    <w:rsid w:val="00EE763B"/>
    <w:rsid w:val="00F27B25"/>
    <w:rsid w:val="00FA2B9F"/>
    <w:rsid w:val="00FE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224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63B"/>
    <w:pPr>
      <w:ind w:left="720"/>
      <w:contextualSpacing/>
    </w:pPr>
  </w:style>
  <w:style w:type="paragraph" w:styleId="Nzev">
    <w:name w:val="Title"/>
    <w:basedOn w:val="Normln"/>
    <w:link w:val="NzevChar"/>
    <w:qFormat/>
    <w:rsid w:val="00F27B25"/>
    <w:pPr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27B25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Jiří Halásek</cp:lastModifiedBy>
  <cp:revision>12</cp:revision>
  <cp:lastPrinted>2016-12-02T10:57:00Z</cp:lastPrinted>
  <dcterms:created xsi:type="dcterms:W3CDTF">2015-11-19T07:10:00Z</dcterms:created>
  <dcterms:modified xsi:type="dcterms:W3CDTF">2016-12-02T10:57:00Z</dcterms:modified>
</cp:coreProperties>
</file>