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B8820" w14:textId="77777777" w:rsidR="00100A8B" w:rsidRPr="0029490A" w:rsidRDefault="00100A8B" w:rsidP="00100A8B">
      <w:pPr>
        <w:spacing w:after="0"/>
        <w:jc w:val="left"/>
        <w:rPr>
          <w:b/>
          <w:color w:val="0D0D0D" w:themeColor="text1" w:themeTint="F2"/>
          <w:spacing w:val="-6"/>
          <w:sz w:val="2"/>
          <w:szCs w:val="2"/>
        </w:rPr>
      </w:pPr>
      <w:bookmarkStart w:id="0" w:name="_Toc19090679"/>
    </w:p>
    <w:p w14:paraId="74E69533" w14:textId="21CF1CBC" w:rsidR="003815D4" w:rsidRDefault="003815D4" w:rsidP="003815D4">
      <w:pPr>
        <w:pStyle w:val="Nadpis11"/>
      </w:pPr>
      <w:bookmarkStart w:id="1" w:name="_Toc58605377"/>
      <w:bookmarkEnd w:id="0"/>
      <w:r>
        <w:t>7. Měnové podmínky</w:t>
      </w:r>
      <w:bookmarkEnd w:id="1"/>
    </w:p>
    <w:tbl>
      <w:tblPr>
        <w:tblW w:w="9641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2"/>
        <w:gridCol w:w="229"/>
        <w:gridCol w:w="7610"/>
      </w:tblGrid>
      <w:tr w:rsidR="003815D4" w14:paraId="6E0B5F8D" w14:textId="77777777" w:rsidTr="00361FB7">
        <w:trPr>
          <w:trHeight w:val="145"/>
        </w:trPr>
        <w:tc>
          <w:tcPr>
            <w:tcW w:w="1802" w:type="dxa"/>
          </w:tcPr>
          <w:p w14:paraId="4CF6BE29" w14:textId="77777777" w:rsidR="003815D4" w:rsidRDefault="003815D4" w:rsidP="00361FB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Základní úrokové sazby ČNB se ve 3. čtvrtletí neměnily.</w:t>
            </w:r>
          </w:p>
        </w:tc>
        <w:tc>
          <w:tcPr>
            <w:tcW w:w="229" w:type="dxa"/>
          </w:tcPr>
          <w:p w14:paraId="30EA15D2" w14:textId="77777777" w:rsidR="003815D4" w:rsidRDefault="003815D4" w:rsidP="00361FB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  <w:hideMark/>
          </w:tcPr>
          <w:p w14:paraId="1F53D47C" w14:textId="77777777" w:rsidR="003815D4" w:rsidRDefault="003815D4" w:rsidP="00361FB7">
            <w:pPr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Nastavení základních </w:t>
            </w:r>
            <w:proofErr w:type="spellStart"/>
            <w:r>
              <w:rPr>
                <w:spacing w:val="-2"/>
                <w:lang w:eastAsia="en-US"/>
              </w:rPr>
              <w:t>měnověpolitických</w:t>
            </w:r>
            <w:proofErr w:type="spellEnd"/>
            <w:r>
              <w:rPr>
                <w:spacing w:val="-2"/>
                <w:lang w:eastAsia="en-US"/>
              </w:rPr>
              <w:t xml:space="preserve"> sazeb se ve 3. čtvrtletí neměnilo. Od květnového snížení dvoutýdenní </w:t>
            </w:r>
            <w:proofErr w:type="spellStart"/>
            <w:r>
              <w:rPr>
                <w:spacing w:val="-2"/>
                <w:lang w:eastAsia="en-US"/>
              </w:rPr>
              <w:t>repo</w:t>
            </w:r>
            <w:proofErr w:type="spellEnd"/>
            <w:r>
              <w:rPr>
                <w:spacing w:val="-2"/>
                <w:lang w:eastAsia="en-US"/>
              </w:rPr>
              <w:t xml:space="preserve"> sazby na 0,25 %</w:t>
            </w:r>
            <w:r>
              <w:rPr>
                <w:rStyle w:val="Znakapoznpodarou"/>
                <w:spacing w:val="-2"/>
                <w:lang w:eastAsia="en-US"/>
              </w:rPr>
              <w:footnoteReference w:id="1"/>
            </w:r>
            <w:r>
              <w:rPr>
                <w:spacing w:val="-2"/>
                <w:lang w:eastAsia="en-US"/>
              </w:rPr>
              <w:t xml:space="preserve"> (lombardní sazba byla snížená na 1,00 %, 0,05 % u diskontní sazby se neměnilo) tak zůstávají úrokové míry na stálé úrovni. Během letních měsíců, kdy se průběh epidemie do značné míry uklidnil, došlo i k posílení kurzu koruny vůči euru i dolaru. Čtvrtletí zahájila koruna na 26,67 CZK/EUR a 23,81 CZK/USD. Posílení vůči euru bylo mírné, do konce srpna se kurz posunul na 26,21 CZK/EUR. Poměrně silně naopak upevnil kurz vůči dolaru (21,95 CZK/USD). Jasný zlom ve vývoji byl vidět na přelomu srpna a září. Kurz vůči euru během září veškeré letní zisky smazal a na konci měsíce činil 27,21 koruny. Rovněž kurz vůči dolaru výrazně oslabil a čtvrtletí zakončil na 23,24 koruny. To, že koruna vůči euru v létě posilovala jen velmi mírně, znamenalo, že ve srovnání se stejným obdobím roku 2019 kurz zůstal slabší. To přineslo tlak na meziroční růst cen zahraničního obchodu vedeného v eurech. Naopak dolarový kurz byl meziročně mírně silnější, což vedlo k prohloubení poklesu zejména u cen surovin obchodovaných v dolarech.</w:t>
            </w:r>
          </w:p>
        </w:tc>
      </w:tr>
      <w:tr w:rsidR="003815D4" w14:paraId="7AAD61D1" w14:textId="77777777" w:rsidTr="00361FB7">
        <w:trPr>
          <w:trHeight w:val="145"/>
        </w:trPr>
        <w:tc>
          <w:tcPr>
            <w:tcW w:w="1802" w:type="dxa"/>
            <w:hideMark/>
          </w:tcPr>
          <w:p w14:paraId="455DA181" w14:textId="77777777" w:rsidR="003815D4" w:rsidRDefault="003815D4" w:rsidP="00361FB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To zastavilo i pohyb úrokových sazeb na mezibankovním trhu. Sazby krátkodobých a střednědobých vládních dluhopisů klesly.</w:t>
            </w:r>
          </w:p>
        </w:tc>
        <w:tc>
          <w:tcPr>
            <w:tcW w:w="229" w:type="dxa"/>
          </w:tcPr>
          <w:p w14:paraId="3409A050" w14:textId="77777777" w:rsidR="003815D4" w:rsidRDefault="003815D4" w:rsidP="00361FB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7057FDB8" w14:textId="77777777" w:rsidR="003815D4" w:rsidRDefault="003815D4" w:rsidP="00361FB7">
            <w:pPr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 xml:space="preserve">Úrokové sazby na mezibankovním trhu se v květnu přizpůsobily novému nastavení </w:t>
            </w:r>
            <w:proofErr w:type="spellStart"/>
            <w:r>
              <w:rPr>
                <w:spacing w:val="-1"/>
                <w:lang w:eastAsia="en-US"/>
              </w:rPr>
              <w:t>měnověpolitických</w:t>
            </w:r>
            <w:proofErr w:type="spellEnd"/>
            <w:r>
              <w:rPr>
                <w:spacing w:val="-1"/>
                <w:lang w:eastAsia="en-US"/>
              </w:rPr>
              <w:t xml:space="preserve"> sazeb a v dalších měsících se neměnily. Tříměsíční sazba PRIBOR tak po celé třetí čtvrtletí setrvala na 0,34 %. Výrazněji se nehýbaly ani sazby na krátkodobých a střednědobých vládních dluhopisech. Ty se splatností do dvou let se držely blízko nulového úročení (0,05 % ke konci září). U střednědobých dluhopisů se úroková sazba posunula z 0,52 % na konci června na 0,58 % ke konci září. Dlouhodobé dluhopisy začaly čtvrtletí na 0,86 %, v průběhu srpna jejich úročení vyskočilo vzhůru a na konci září činilo 0,98 %.</w:t>
            </w:r>
          </w:p>
        </w:tc>
      </w:tr>
      <w:tr w:rsidR="003815D4" w14:paraId="1E0BAF71" w14:textId="77777777" w:rsidTr="00361FB7">
        <w:trPr>
          <w:trHeight w:val="145"/>
        </w:trPr>
        <w:tc>
          <w:tcPr>
            <w:tcW w:w="1802" w:type="dxa"/>
            <w:hideMark/>
          </w:tcPr>
          <w:p w14:paraId="688E975E" w14:textId="77777777" w:rsidR="003815D4" w:rsidRDefault="003815D4" w:rsidP="00361FB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Klientské sazby zamířily opět dolů. Dále se tak snižoval objem peněžních prostředků na termínovaných vkladech.</w:t>
            </w:r>
          </w:p>
        </w:tc>
        <w:tc>
          <w:tcPr>
            <w:tcW w:w="229" w:type="dxa"/>
          </w:tcPr>
          <w:p w14:paraId="4151E882" w14:textId="77777777" w:rsidR="003815D4" w:rsidRDefault="003815D4" w:rsidP="00361FB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7E51AAA0" w14:textId="77777777" w:rsidR="003815D4" w:rsidRDefault="003815D4" w:rsidP="00361FB7">
            <w:pPr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Úrokové sazby na běžných účtech domácností se nadále držely na úrovni technické nuly (0,03 %). Během 3. čtvrtletí pokračoval pokles úrokových sazeb na vkladech domácností s dohodnutou splatností (0,45 % ke konci září, pokles během čtvrtletí o 0,15 p. b.). Jde o nejnižší úroveň od 3. čtvrtletí 2017. I v případě nefinančních podniků se úročení běžných účtů drželo téměř na nule (0,03 %). Úroky na vkladech s dohodnutou splatností pro nefinanční podniky prudce klesly již ve 2. čtvrtletí (o více než 1 p. b.) a ke konci září činily 0,13 %. V letech 2018 a 2019 mohutně narůstal objem prostředků na termínovaných vkladech. Tento proces trval ještě v letošním 1. čtvrtletí (meziroční nárůst o 14,9 %). Propad úrokových sazeb ve 2. i 3. kvartálu ale vedl k posilování netermínovaných vkladů (meziroční nárůst o 13,3 % a 18,5 % v jednotlivých čtvrtletích).</w:t>
            </w:r>
          </w:p>
        </w:tc>
      </w:tr>
      <w:tr w:rsidR="003815D4" w14:paraId="046A7804" w14:textId="77777777" w:rsidTr="00361FB7">
        <w:trPr>
          <w:trHeight w:val="145"/>
        </w:trPr>
        <w:tc>
          <w:tcPr>
            <w:tcW w:w="1802" w:type="dxa"/>
          </w:tcPr>
          <w:p w14:paraId="41564A82" w14:textId="77777777" w:rsidR="003815D4" w:rsidRDefault="003815D4" w:rsidP="00361FB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Domácnostem zlevnilo úvěrové financování.</w:t>
            </w:r>
          </w:p>
        </w:tc>
        <w:tc>
          <w:tcPr>
            <w:tcW w:w="229" w:type="dxa"/>
          </w:tcPr>
          <w:p w14:paraId="26752981" w14:textId="77777777" w:rsidR="003815D4" w:rsidRDefault="003815D4" w:rsidP="00361FB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77C61041" w14:textId="77777777" w:rsidR="003815D4" w:rsidRDefault="003815D4" w:rsidP="00361FB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Domácnostem úvěrové financování v průměru zlevňovalo. Průměrná sazba úvěrů na spotřebu poprvé klesla pod 8% hranici a ke konci září dosahovala 7,97 %. Jde o pokračování dlouhodobého trendu. Roli mohl hrát také momentální nižší zájem o spotřebitelské úvěry daný nejistotou domácností. Meziroční nárůst objemu poskytnutých úvěrů na spotřebu totiž ve 3. čtvrtletí klesl na 4,1 % (nejméně za posledních pět let) a výrazně zpomalil i růst celkového zadlužení domácností na spotřebu (1,3 %). Také průměrná úroková sazba úvěrů na nákup bytové nemovitosti opět klesla (2,24 % ke konci září). Na rozdíl od úvěrů na spotřebu se ale dynamika úvěrů na bydlení ani v současné situaci neměnila. Ve 3. čtvrtletí došlo k nárůstu poskytnutých úvěrů na bydlení o 7,5 %. Zadlužení domácností na bydlení vzrostlo rovněž o 7,5 %. Specifickým jevem, který souvisel s aktuální situací, jsou odklady splátek hypotečních úvěrů. Ty se zejména ve 2. čtvrtletí projevily prudkým navýšením počtu nových hypotečních smluv i jejich objemu. U bytových nemovitostí ve 2. čtvrtletí počet smluv meziročně vzrostl o 68,7 tisíce, u nebytových o 17,4 tisíce. Pro srovnání – </w:t>
            </w:r>
            <w:r>
              <w:rPr>
                <w:lang w:eastAsia="en-US"/>
              </w:rPr>
              <w:lastRenderedPageBreak/>
              <w:t>ve 4. čtvrtletí 2019 (poslední bez vlivu odkladů) počet smluv u bytových nemovitostí vzrostl o 2,6 tisíce.</w:t>
            </w:r>
          </w:p>
        </w:tc>
      </w:tr>
      <w:tr w:rsidR="003815D4" w14:paraId="4C2C5CF3" w14:textId="77777777" w:rsidTr="00361FB7">
        <w:trPr>
          <w:trHeight w:val="145"/>
        </w:trPr>
        <w:tc>
          <w:tcPr>
            <w:tcW w:w="1802" w:type="dxa"/>
          </w:tcPr>
          <w:p w14:paraId="038AE23C" w14:textId="77777777" w:rsidR="003815D4" w:rsidRDefault="003815D4" w:rsidP="00361FB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 pro podniky se úvěry zlevnily. Zároveň ale bylo možné pozorovat ochlazení dynamiky růstu objemu poskytnutých půjček.</w:t>
            </w:r>
          </w:p>
        </w:tc>
        <w:tc>
          <w:tcPr>
            <w:tcW w:w="229" w:type="dxa"/>
          </w:tcPr>
          <w:p w14:paraId="0215D4CB" w14:textId="77777777" w:rsidR="003815D4" w:rsidRDefault="003815D4" w:rsidP="00361FB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1A911DAE" w14:textId="77777777" w:rsidR="003815D4" w:rsidRDefault="003815D4" w:rsidP="00361FB7">
            <w:pPr>
              <w:rPr>
                <w:lang w:eastAsia="en-US"/>
              </w:rPr>
            </w:pPr>
            <w:r>
              <w:rPr>
                <w:lang w:eastAsia="en-US"/>
              </w:rPr>
              <w:t>Úrokové sazby pro nefinanční podniky razantně klesly v případě úvěrů s největším objemem (nad 30 milionů korun). Na konci září činilo průměrné úročení 1,15 % (na konci června to bylo 2,13 %). Kleslo rovněž úročení úvěrů mezi 7,5 a 30 miliony korun (o 0,24 p. b. na 2,3 %). Kategorie nejmenších úvěrů se po poklesu v průběhu 2. čtvrtletí prakticky držela na stejné úrovni (pokles ve 3. čtvrtletí o 0,06 p. b. na 3,72 %). Celkový objem úvěrů a pohledávek nefinančních podniků ve 3. čtvrtletí meziročně vzrostl o 2,3 %, což je výrazně méně než v předchozím kvartálu. Meziročně klesl objem krátkodobých úvěrů a pohledávek (–3,8 %). Ty střednědobé i dlouhodobé se navyšovaly, ale i u nich je patrné zvolnění tempa. Růst objemu úvěrů a pohledávek přitom táhly výhradně úvěry v cizí měně (12,3 %), ty korunové klesaly (–2,6 %). Ve 3. čtvrtletí se meziročně zvyšovaly zejména půjčky v ubytování, stravování a pohostinství (12,9 %, výrazná dynamika je patrná od začátku roku), ve veřejné správě a obraně, povinném sociálním zabezpečení, vzdělávání a zdravotní a sociální péči (10,7 %) a v dopravě a skladování (8,8 %). Ve srovnání s 1. a 2. kvartálem značně zpomalilo tempo u činností v oblasti nemovitostí (6,1 %). Postupné zmírnění růstu objemu půjček se týkalo i zpracovatelského průmyslu (5,9 %, 3,5 % a 2,2 % v 1., 2. a 3. čtvrtletí). Propad půjček již pátým čtvrtletím pokračuje v informačních a komunikačních činnostech a ve 3. čtvrtletí se výrazně prohloubil (–11,9 %). Poklesly i půjčky v profesních, vědeckých, technických a administrativních činnostech.</w:t>
            </w:r>
          </w:p>
        </w:tc>
      </w:tr>
      <w:tr w:rsidR="003815D4" w14:paraId="7C4A43F2" w14:textId="77777777" w:rsidTr="00361FB7">
        <w:trPr>
          <w:trHeight w:val="304"/>
        </w:trPr>
        <w:tc>
          <w:tcPr>
            <w:tcW w:w="1802" w:type="dxa"/>
            <w:vMerge w:val="restart"/>
          </w:tcPr>
          <w:p w14:paraId="5CF6C4B8" w14:textId="77777777" w:rsidR="003815D4" w:rsidRDefault="003815D4" w:rsidP="00361FB7">
            <w:pPr>
              <w:pStyle w:val="Marginlie"/>
              <w:rPr>
                <w:lang w:eastAsia="en-US"/>
              </w:rPr>
            </w:pPr>
          </w:p>
        </w:tc>
        <w:tc>
          <w:tcPr>
            <w:tcW w:w="229" w:type="dxa"/>
            <w:vMerge w:val="restart"/>
          </w:tcPr>
          <w:p w14:paraId="01E5BD03" w14:textId="77777777" w:rsidR="003815D4" w:rsidRDefault="003815D4" w:rsidP="00361FB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  <w:hideMark/>
          </w:tcPr>
          <w:p w14:paraId="6590BA5C" w14:textId="77777777" w:rsidR="003815D4" w:rsidRDefault="003815D4" w:rsidP="00361FB7">
            <w:pPr>
              <w:spacing w:after="0"/>
              <w:rPr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Graf č. 15  </w:t>
            </w:r>
            <w:r>
              <w:rPr>
                <w:b/>
                <w:spacing w:val="-4"/>
                <w:sz w:val="18"/>
                <w:szCs w:val="18"/>
                <w:lang w:eastAsia="en-US"/>
              </w:rPr>
              <w:t xml:space="preserve">Tržní úrokové sazby </w:t>
            </w:r>
            <w:r>
              <w:rPr>
                <w:bCs/>
                <w:spacing w:val="-4"/>
                <w:sz w:val="18"/>
                <w:szCs w:val="18"/>
                <w:lang w:eastAsia="en-US"/>
              </w:rPr>
              <w:t>(v %)</w:t>
            </w:r>
          </w:p>
        </w:tc>
      </w:tr>
      <w:tr w:rsidR="003815D4" w14:paraId="7C273BDB" w14:textId="77777777" w:rsidTr="00361FB7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2" w:type="dxa"/>
            <w:vMerge/>
            <w:vAlign w:val="center"/>
            <w:hideMark/>
          </w:tcPr>
          <w:p w14:paraId="481D9AAB" w14:textId="77777777" w:rsidR="003815D4" w:rsidRDefault="003815D4" w:rsidP="00361FB7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14:paraId="32C3606C" w14:textId="77777777" w:rsidR="003815D4" w:rsidRDefault="003815D4" w:rsidP="00361FB7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0C56E1F5" w14:textId="77777777" w:rsidR="003815D4" w:rsidRDefault="003815D4" w:rsidP="00361FB7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39B0A40" wp14:editId="6DE4FEA2">
                  <wp:extent cx="4737600" cy="3432550"/>
                  <wp:effectExtent l="0" t="0" r="6350" b="0"/>
                  <wp:docPr id="16" name="Graf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3815D4" w14:paraId="597FAF43" w14:textId="77777777" w:rsidTr="00361FB7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0830482F" w14:textId="77777777" w:rsidR="003815D4" w:rsidRDefault="003815D4" w:rsidP="00361FB7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4DDDDC" w14:textId="77777777" w:rsidR="003815D4" w:rsidRDefault="003815D4" w:rsidP="00361FB7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29450FE6" w14:textId="77777777" w:rsidR="003815D4" w:rsidRDefault="003815D4" w:rsidP="00361FB7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Zdroj: ČNB</w:t>
            </w:r>
          </w:p>
        </w:tc>
      </w:tr>
    </w:tbl>
    <w:p w14:paraId="12738CD6" w14:textId="77777777" w:rsidR="003815D4" w:rsidRDefault="003815D4" w:rsidP="003815D4">
      <w:pPr>
        <w:pStyle w:val="Nadpis11"/>
        <w:rPr>
          <w:b w:val="0"/>
          <w:sz w:val="2"/>
          <w:szCs w:val="2"/>
          <w:highlight w:val="yellow"/>
        </w:rPr>
      </w:pPr>
    </w:p>
    <w:p w14:paraId="75EEAC01" w14:textId="77777777" w:rsidR="003815D4" w:rsidRDefault="003815D4" w:rsidP="003815D4">
      <w:pPr>
        <w:spacing w:after="0" w:line="240" w:lineRule="auto"/>
        <w:jc w:val="left"/>
        <w:rPr>
          <w:b/>
          <w:sz w:val="2"/>
          <w:szCs w:val="2"/>
          <w:highlight w:val="yellow"/>
        </w:rPr>
      </w:pPr>
    </w:p>
    <w:p w14:paraId="6049A064" w14:textId="77777777" w:rsidR="003815D4" w:rsidRPr="00E42054" w:rsidRDefault="003815D4" w:rsidP="003815D4">
      <w:pPr>
        <w:pStyle w:val="Nadpis11"/>
        <w:spacing w:after="0"/>
        <w:rPr>
          <w:b w:val="0"/>
          <w:sz w:val="2"/>
          <w:szCs w:val="2"/>
        </w:rPr>
      </w:pPr>
    </w:p>
    <w:p w14:paraId="6DDA2A55" w14:textId="77777777" w:rsidR="00AB75C5" w:rsidRDefault="00AB75C5" w:rsidP="00AB75C5">
      <w:pPr>
        <w:pStyle w:val="Nadpis11"/>
        <w:rPr>
          <w:b w:val="0"/>
          <w:sz w:val="2"/>
          <w:szCs w:val="2"/>
          <w:highlight w:val="yellow"/>
        </w:rPr>
      </w:pPr>
    </w:p>
    <w:p w14:paraId="6596F830" w14:textId="77777777" w:rsidR="00AB75C5" w:rsidRDefault="00AB75C5" w:rsidP="00AB75C5">
      <w:pPr>
        <w:spacing w:after="0" w:line="240" w:lineRule="auto"/>
        <w:jc w:val="left"/>
        <w:rPr>
          <w:b/>
          <w:sz w:val="2"/>
          <w:szCs w:val="2"/>
          <w:highlight w:val="yellow"/>
        </w:rPr>
      </w:pPr>
    </w:p>
    <w:p w14:paraId="3E974863" w14:textId="6CCCA6C6" w:rsidR="000663F0" w:rsidRPr="00E42054" w:rsidRDefault="000663F0" w:rsidP="00FB616C">
      <w:pPr>
        <w:spacing w:after="0" w:line="240" w:lineRule="auto"/>
        <w:jc w:val="left"/>
        <w:rPr>
          <w:b/>
          <w:sz w:val="2"/>
          <w:szCs w:val="2"/>
        </w:rPr>
      </w:pPr>
    </w:p>
    <w:sectPr w:rsidR="000663F0" w:rsidRPr="00E42054" w:rsidSect="00FB616C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737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D51C5" w14:textId="77777777" w:rsidR="0060120D" w:rsidRDefault="0060120D" w:rsidP="00E71A58">
      <w:r>
        <w:separator/>
      </w:r>
    </w:p>
  </w:endnote>
  <w:endnote w:type="continuationSeparator" w:id="0">
    <w:p w14:paraId="7E79BE89" w14:textId="77777777" w:rsidR="0060120D" w:rsidRDefault="0060120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51A0D" w14:textId="3103AF3A" w:rsidR="008D3ACD" w:rsidRPr="00932443" w:rsidRDefault="008D3AC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71F0B6E3" wp14:editId="3AA519D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142B29">
      <w:rPr>
        <w:szCs w:val="16"/>
      </w:rPr>
      <w:t>34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až 3. čtvrtletí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7E4B" w14:textId="692BEA19" w:rsidR="008D3ACD" w:rsidRPr="00932443" w:rsidRDefault="008D3ACD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 xml:space="preserve">1. až 3. čtvrtletí 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6ADC9B20" wp14:editId="2C3814E9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3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2</w:t>
    </w:r>
    <w:r>
      <w:t>020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142B29">
      <w:rPr>
        <w:rStyle w:val="ZpatChar"/>
        <w:szCs w:val="16"/>
      </w:rPr>
      <w:t>35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3E61E" w14:textId="77777777" w:rsidR="0060120D" w:rsidRDefault="0060120D" w:rsidP="00A21B4D">
      <w:pPr>
        <w:spacing w:after="0"/>
      </w:pPr>
      <w:r>
        <w:separator/>
      </w:r>
    </w:p>
  </w:footnote>
  <w:footnote w:type="continuationSeparator" w:id="0">
    <w:p w14:paraId="14D7D261" w14:textId="77777777" w:rsidR="0060120D" w:rsidRDefault="0060120D" w:rsidP="00E71A58">
      <w:r>
        <w:continuationSeparator/>
      </w:r>
    </w:p>
  </w:footnote>
  <w:footnote w:id="1">
    <w:p w14:paraId="05096E56" w14:textId="77777777" w:rsidR="008D3ACD" w:rsidRDefault="008D3ACD" w:rsidP="003815D4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Není</w:t>
      </w:r>
      <w:r>
        <w:rPr>
          <w:sz w:val="16"/>
          <w:szCs w:val="16"/>
        </w:rPr>
        <w:noBreakHyphen/>
        <w:t>li uvedeno jinak, je zdrojem údajů v této kapitole databáze ARAD České národní banky. Hodnoty směnných kurzů jsou rovněž převzaty od ČNB.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985C8" w14:textId="77777777" w:rsidR="008D3ACD" w:rsidRDefault="008D3ACD" w:rsidP="00937AE2">
    <w:pPr>
      <w:pStyle w:val="Zhlav"/>
    </w:pPr>
    <w:r>
      <w:t>Vývoj ekonomiky České republiky</w:t>
    </w:r>
  </w:p>
  <w:p w14:paraId="675E4C41" w14:textId="77777777" w:rsidR="008D3ACD" w:rsidRPr="006F5416" w:rsidRDefault="008D3ACD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812FB" w14:textId="77777777" w:rsidR="008D3ACD" w:rsidRDefault="008D3ACD" w:rsidP="00937AE2">
    <w:pPr>
      <w:pStyle w:val="Zhlav"/>
    </w:pPr>
    <w:r>
      <w:t>Vývoj ekonomiky České republiky</w:t>
    </w:r>
  </w:p>
  <w:p w14:paraId="0CDCFD48" w14:textId="77777777" w:rsidR="008D3ACD" w:rsidRPr="006F5416" w:rsidRDefault="008D3ACD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1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5"/>
  </w:num>
  <w:num w:numId="14">
    <w:abstractNumId w:val="12"/>
  </w:num>
  <w:num w:numId="15">
    <w:abstractNumId w:val="18"/>
  </w:num>
  <w:num w:numId="16">
    <w:abstractNumId w:val="14"/>
  </w:num>
  <w:num w:numId="17">
    <w:abstractNumId w:val="26"/>
  </w:num>
  <w:num w:numId="18">
    <w:abstractNumId w:val="19"/>
  </w:num>
  <w:num w:numId="19">
    <w:abstractNumId w:val="27"/>
  </w:num>
  <w:num w:numId="20">
    <w:abstractNumId w:val="28"/>
  </w:num>
  <w:num w:numId="21">
    <w:abstractNumId w:val="24"/>
  </w:num>
  <w:num w:numId="22">
    <w:abstractNumId w:val="17"/>
  </w:num>
  <w:num w:numId="23">
    <w:abstractNumId w:val="15"/>
  </w:num>
  <w:num w:numId="24">
    <w:abstractNumId w:val="16"/>
  </w:num>
  <w:num w:numId="25">
    <w:abstractNumId w:val="11"/>
  </w:num>
  <w:num w:numId="26">
    <w:abstractNumId w:val="21"/>
  </w:num>
  <w:num w:numId="27">
    <w:abstractNumId w:val="20"/>
  </w:num>
  <w:num w:numId="28">
    <w:abstractNumId w:val="10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28"/>
    <w:rsid w:val="000005AF"/>
    <w:rsid w:val="00000B55"/>
    <w:rsid w:val="0000209D"/>
    <w:rsid w:val="00002566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29B7"/>
    <w:rsid w:val="0001387D"/>
    <w:rsid w:val="00014ED0"/>
    <w:rsid w:val="00016420"/>
    <w:rsid w:val="00017B01"/>
    <w:rsid w:val="000205D1"/>
    <w:rsid w:val="00020F22"/>
    <w:rsid w:val="0002195D"/>
    <w:rsid w:val="000228AE"/>
    <w:rsid w:val="000233D1"/>
    <w:rsid w:val="000234D6"/>
    <w:rsid w:val="00023D29"/>
    <w:rsid w:val="00024348"/>
    <w:rsid w:val="00026389"/>
    <w:rsid w:val="0002669F"/>
    <w:rsid w:val="000279E5"/>
    <w:rsid w:val="00031AE0"/>
    <w:rsid w:val="00031BB2"/>
    <w:rsid w:val="000322EF"/>
    <w:rsid w:val="00033FCD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2596"/>
    <w:rsid w:val="00044183"/>
    <w:rsid w:val="0004431D"/>
    <w:rsid w:val="0004694F"/>
    <w:rsid w:val="00046F2F"/>
    <w:rsid w:val="00047AD4"/>
    <w:rsid w:val="00047D54"/>
    <w:rsid w:val="0005054A"/>
    <w:rsid w:val="00051506"/>
    <w:rsid w:val="000522E4"/>
    <w:rsid w:val="00053713"/>
    <w:rsid w:val="0005434E"/>
    <w:rsid w:val="00055CB6"/>
    <w:rsid w:val="000572DD"/>
    <w:rsid w:val="00057B1E"/>
    <w:rsid w:val="000610E1"/>
    <w:rsid w:val="000616AD"/>
    <w:rsid w:val="000622A6"/>
    <w:rsid w:val="00062EC5"/>
    <w:rsid w:val="00062F22"/>
    <w:rsid w:val="00063975"/>
    <w:rsid w:val="00063CEA"/>
    <w:rsid w:val="0006444D"/>
    <w:rsid w:val="000645FC"/>
    <w:rsid w:val="0006533F"/>
    <w:rsid w:val="00065348"/>
    <w:rsid w:val="0006551C"/>
    <w:rsid w:val="00065A75"/>
    <w:rsid w:val="000663F0"/>
    <w:rsid w:val="00066558"/>
    <w:rsid w:val="00070A87"/>
    <w:rsid w:val="000712B3"/>
    <w:rsid w:val="00071A7C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26E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E5F"/>
    <w:rsid w:val="000A3A2C"/>
    <w:rsid w:val="000A3D9E"/>
    <w:rsid w:val="000A4A54"/>
    <w:rsid w:val="000A4ED9"/>
    <w:rsid w:val="000A5DB7"/>
    <w:rsid w:val="000A6D94"/>
    <w:rsid w:val="000A7377"/>
    <w:rsid w:val="000A7FF4"/>
    <w:rsid w:val="000B03CC"/>
    <w:rsid w:val="000B4212"/>
    <w:rsid w:val="000B67B7"/>
    <w:rsid w:val="000C0EA8"/>
    <w:rsid w:val="000C13A2"/>
    <w:rsid w:val="000C21E7"/>
    <w:rsid w:val="000C23EC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D0A26"/>
    <w:rsid w:val="000D3058"/>
    <w:rsid w:val="000D310A"/>
    <w:rsid w:val="000D3EF4"/>
    <w:rsid w:val="000D4DC0"/>
    <w:rsid w:val="000D5637"/>
    <w:rsid w:val="000D6F4E"/>
    <w:rsid w:val="000D73BB"/>
    <w:rsid w:val="000E0E96"/>
    <w:rsid w:val="000E298B"/>
    <w:rsid w:val="000E2C7D"/>
    <w:rsid w:val="000E440D"/>
    <w:rsid w:val="000E4AC5"/>
    <w:rsid w:val="000E6253"/>
    <w:rsid w:val="000E6E4D"/>
    <w:rsid w:val="000E6FBD"/>
    <w:rsid w:val="000E6FCB"/>
    <w:rsid w:val="000F090B"/>
    <w:rsid w:val="000F3F3B"/>
    <w:rsid w:val="000F47E8"/>
    <w:rsid w:val="000F70E4"/>
    <w:rsid w:val="000F76EA"/>
    <w:rsid w:val="00100A8B"/>
    <w:rsid w:val="00100F5C"/>
    <w:rsid w:val="00101CDA"/>
    <w:rsid w:val="00102037"/>
    <w:rsid w:val="00103DCB"/>
    <w:rsid w:val="00104C4C"/>
    <w:rsid w:val="00105015"/>
    <w:rsid w:val="001055D2"/>
    <w:rsid w:val="001057C2"/>
    <w:rsid w:val="0011038E"/>
    <w:rsid w:val="001125EF"/>
    <w:rsid w:val="00112CAB"/>
    <w:rsid w:val="00114C33"/>
    <w:rsid w:val="00116D3F"/>
    <w:rsid w:val="00117474"/>
    <w:rsid w:val="00117623"/>
    <w:rsid w:val="00117FEA"/>
    <w:rsid w:val="001200CF"/>
    <w:rsid w:val="001208E3"/>
    <w:rsid w:val="0012192F"/>
    <w:rsid w:val="00122994"/>
    <w:rsid w:val="00124B46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405FA"/>
    <w:rsid w:val="00140D1A"/>
    <w:rsid w:val="00141184"/>
    <w:rsid w:val="00141315"/>
    <w:rsid w:val="00141AA0"/>
    <w:rsid w:val="001425C3"/>
    <w:rsid w:val="0014262D"/>
    <w:rsid w:val="00142B29"/>
    <w:rsid w:val="00144588"/>
    <w:rsid w:val="001447DD"/>
    <w:rsid w:val="001459BC"/>
    <w:rsid w:val="00152F4F"/>
    <w:rsid w:val="001544A1"/>
    <w:rsid w:val="001553B8"/>
    <w:rsid w:val="001554C2"/>
    <w:rsid w:val="001571C0"/>
    <w:rsid w:val="0015753D"/>
    <w:rsid w:val="00157CC9"/>
    <w:rsid w:val="00160C21"/>
    <w:rsid w:val="001612F4"/>
    <w:rsid w:val="00161553"/>
    <w:rsid w:val="0016256B"/>
    <w:rsid w:val="00162F81"/>
    <w:rsid w:val="00163793"/>
    <w:rsid w:val="00165313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81BBC"/>
    <w:rsid w:val="0018385F"/>
    <w:rsid w:val="00184017"/>
    <w:rsid w:val="001847BB"/>
    <w:rsid w:val="00184B08"/>
    <w:rsid w:val="00185010"/>
    <w:rsid w:val="00185C22"/>
    <w:rsid w:val="00186BA9"/>
    <w:rsid w:val="00187D50"/>
    <w:rsid w:val="0019196C"/>
    <w:rsid w:val="001926A9"/>
    <w:rsid w:val="00192F05"/>
    <w:rsid w:val="00194729"/>
    <w:rsid w:val="00194850"/>
    <w:rsid w:val="00195234"/>
    <w:rsid w:val="00196016"/>
    <w:rsid w:val="00196117"/>
    <w:rsid w:val="00197A70"/>
    <w:rsid w:val="00197C0F"/>
    <w:rsid w:val="001A0487"/>
    <w:rsid w:val="001A0675"/>
    <w:rsid w:val="001A1F68"/>
    <w:rsid w:val="001A21FA"/>
    <w:rsid w:val="001A4EF0"/>
    <w:rsid w:val="001A552F"/>
    <w:rsid w:val="001A70B1"/>
    <w:rsid w:val="001B0738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F17"/>
    <w:rsid w:val="001C1B24"/>
    <w:rsid w:val="001C1B66"/>
    <w:rsid w:val="001C31A2"/>
    <w:rsid w:val="001C351D"/>
    <w:rsid w:val="001C4B8F"/>
    <w:rsid w:val="001C4BB8"/>
    <w:rsid w:val="001C4FD0"/>
    <w:rsid w:val="001C5E46"/>
    <w:rsid w:val="001C6B3B"/>
    <w:rsid w:val="001C7A26"/>
    <w:rsid w:val="001C7E3F"/>
    <w:rsid w:val="001D0EF1"/>
    <w:rsid w:val="001D22C2"/>
    <w:rsid w:val="001D2C99"/>
    <w:rsid w:val="001D452E"/>
    <w:rsid w:val="001D54C1"/>
    <w:rsid w:val="001D556E"/>
    <w:rsid w:val="001D5DF2"/>
    <w:rsid w:val="001D68B2"/>
    <w:rsid w:val="001D7EFD"/>
    <w:rsid w:val="001D7F60"/>
    <w:rsid w:val="001E3306"/>
    <w:rsid w:val="001E504C"/>
    <w:rsid w:val="001E5A17"/>
    <w:rsid w:val="001E74C5"/>
    <w:rsid w:val="001F1236"/>
    <w:rsid w:val="001F2F90"/>
    <w:rsid w:val="001F4597"/>
    <w:rsid w:val="001F4826"/>
    <w:rsid w:val="001F6CD3"/>
    <w:rsid w:val="001F7CE0"/>
    <w:rsid w:val="00200085"/>
    <w:rsid w:val="00203332"/>
    <w:rsid w:val="00203CD5"/>
    <w:rsid w:val="00203D8F"/>
    <w:rsid w:val="00203DA4"/>
    <w:rsid w:val="00204EA6"/>
    <w:rsid w:val="00205186"/>
    <w:rsid w:val="00206516"/>
    <w:rsid w:val="002071D5"/>
    <w:rsid w:val="002111E5"/>
    <w:rsid w:val="002118B9"/>
    <w:rsid w:val="00213691"/>
    <w:rsid w:val="002142C0"/>
    <w:rsid w:val="00217C5B"/>
    <w:rsid w:val="00220A43"/>
    <w:rsid w:val="0022139E"/>
    <w:rsid w:val="00222729"/>
    <w:rsid w:val="00223185"/>
    <w:rsid w:val="002233D6"/>
    <w:rsid w:val="0022441D"/>
    <w:rsid w:val="00224574"/>
    <w:rsid w:val="00224E3F"/>
    <w:rsid w:val="002252E0"/>
    <w:rsid w:val="002255F6"/>
    <w:rsid w:val="00226032"/>
    <w:rsid w:val="0022738D"/>
    <w:rsid w:val="00227605"/>
    <w:rsid w:val="00227850"/>
    <w:rsid w:val="00227A53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B06"/>
    <w:rsid w:val="0024343A"/>
    <w:rsid w:val="002436BA"/>
    <w:rsid w:val="00244652"/>
    <w:rsid w:val="00244A15"/>
    <w:rsid w:val="002452D9"/>
    <w:rsid w:val="00247319"/>
    <w:rsid w:val="0024799E"/>
    <w:rsid w:val="00247E60"/>
    <w:rsid w:val="00251B08"/>
    <w:rsid w:val="00251C53"/>
    <w:rsid w:val="00252AB9"/>
    <w:rsid w:val="002532B1"/>
    <w:rsid w:val="00253C0F"/>
    <w:rsid w:val="002558C1"/>
    <w:rsid w:val="00256207"/>
    <w:rsid w:val="002575F3"/>
    <w:rsid w:val="002603E1"/>
    <w:rsid w:val="0026120E"/>
    <w:rsid w:val="00262582"/>
    <w:rsid w:val="0026291D"/>
    <w:rsid w:val="00262CF3"/>
    <w:rsid w:val="00264309"/>
    <w:rsid w:val="0026564B"/>
    <w:rsid w:val="00265C83"/>
    <w:rsid w:val="00265E85"/>
    <w:rsid w:val="00267B49"/>
    <w:rsid w:val="002700D9"/>
    <w:rsid w:val="0027025F"/>
    <w:rsid w:val="002709CC"/>
    <w:rsid w:val="00270D25"/>
    <w:rsid w:val="00271022"/>
    <w:rsid w:val="00271465"/>
    <w:rsid w:val="00271E47"/>
    <w:rsid w:val="002721F5"/>
    <w:rsid w:val="00272DF4"/>
    <w:rsid w:val="0027583D"/>
    <w:rsid w:val="00275DEF"/>
    <w:rsid w:val="002763A2"/>
    <w:rsid w:val="00276B33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640"/>
    <w:rsid w:val="0029237E"/>
    <w:rsid w:val="00292997"/>
    <w:rsid w:val="00293D24"/>
    <w:rsid w:val="0029509B"/>
    <w:rsid w:val="0029588F"/>
    <w:rsid w:val="00295E96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EA2"/>
    <w:rsid w:val="002A51AC"/>
    <w:rsid w:val="002A532A"/>
    <w:rsid w:val="002A5846"/>
    <w:rsid w:val="002A5D97"/>
    <w:rsid w:val="002A603E"/>
    <w:rsid w:val="002A63B9"/>
    <w:rsid w:val="002A7089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98D"/>
    <w:rsid w:val="002C40D2"/>
    <w:rsid w:val="002C43BD"/>
    <w:rsid w:val="002C5245"/>
    <w:rsid w:val="002C564A"/>
    <w:rsid w:val="002C59D8"/>
    <w:rsid w:val="002C5FEB"/>
    <w:rsid w:val="002D05CB"/>
    <w:rsid w:val="002D0E59"/>
    <w:rsid w:val="002D2C4F"/>
    <w:rsid w:val="002D3EBB"/>
    <w:rsid w:val="002D455C"/>
    <w:rsid w:val="002D6066"/>
    <w:rsid w:val="002E02A1"/>
    <w:rsid w:val="002E196A"/>
    <w:rsid w:val="002E20C7"/>
    <w:rsid w:val="002E20CD"/>
    <w:rsid w:val="002E222E"/>
    <w:rsid w:val="002E28D8"/>
    <w:rsid w:val="002E37D1"/>
    <w:rsid w:val="002E3BEE"/>
    <w:rsid w:val="002E4E4C"/>
    <w:rsid w:val="002E4EA7"/>
    <w:rsid w:val="002E5846"/>
    <w:rsid w:val="002E792B"/>
    <w:rsid w:val="002E7AEB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300C31"/>
    <w:rsid w:val="003017EC"/>
    <w:rsid w:val="00302165"/>
    <w:rsid w:val="00304771"/>
    <w:rsid w:val="003052D4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5169"/>
    <w:rsid w:val="003153C8"/>
    <w:rsid w:val="00315524"/>
    <w:rsid w:val="00315561"/>
    <w:rsid w:val="0032058C"/>
    <w:rsid w:val="003208D0"/>
    <w:rsid w:val="003209D6"/>
    <w:rsid w:val="003217B9"/>
    <w:rsid w:val="00321924"/>
    <w:rsid w:val="00321EB6"/>
    <w:rsid w:val="003220A5"/>
    <w:rsid w:val="003238E0"/>
    <w:rsid w:val="00323A1C"/>
    <w:rsid w:val="00324B59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7F84"/>
    <w:rsid w:val="003712BC"/>
    <w:rsid w:val="00372164"/>
    <w:rsid w:val="003738BD"/>
    <w:rsid w:val="00374263"/>
    <w:rsid w:val="003746F0"/>
    <w:rsid w:val="00374A20"/>
    <w:rsid w:val="00374E21"/>
    <w:rsid w:val="0037537A"/>
    <w:rsid w:val="00377B2E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6739"/>
    <w:rsid w:val="003978B1"/>
    <w:rsid w:val="003A04F6"/>
    <w:rsid w:val="003A0837"/>
    <w:rsid w:val="003A2B4D"/>
    <w:rsid w:val="003A2D12"/>
    <w:rsid w:val="003A2EBA"/>
    <w:rsid w:val="003A45E3"/>
    <w:rsid w:val="003A478C"/>
    <w:rsid w:val="003A4A38"/>
    <w:rsid w:val="003A5525"/>
    <w:rsid w:val="003A5889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461F"/>
    <w:rsid w:val="003B483F"/>
    <w:rsid w:val="003B4998"/>
    <w:rsid w:val="003B5A32"/>
    <w:rsid w:val="003B5B59"/>
    <w:rsid w:val="003B7B50"/>
    <w:rsid w:val="003C0B07"/>
    <w:rsid w:val="003C2CE7"/>
    <w:rsid w:val="003C3490"/>
    <w:rsid w:val="003C3608"/>
    <w:rsid w:val="003C3AE8"/>
    <w:rsid w:val="003C3D2C"/>
    <w:rsid w:val="003C4E13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1EF8"/>
    <w:rsid w:val="003E2DFB"/>
    <w:rsid w:val="003E4C91"/>
    <w:rsid w:val="003E52D8"/>
    <w:rsid w:val="003E62F1"/>
    <w:rsid w:val="003F313C"/>
    <w:rsid w:val="003F33B9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30C96"/>
    <w:rsid w:val="0043174F"/>
    <w:rsid w:val="00431BFF"/>
    <w:rsid w:val="00432199"/>
    <w:rsid w:val="00432A58"/>
    <w:rsid w:val="004331C3"/>
    <w:rsid w:val="00433C17"/>
    <w:rsid w:val="00434617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F1"/>
    <w:rsid w:val="00452E60"/>
    <w:rsid w:val="0045321B"/>
    <w:rsid w:val="00456FE5"/>
    <w:rsid w:val="00457490"/>
    <w:rsid w:val="00457953"/>
    <w:rsid w:val="004604D8"/>
    <w:rsid w:val="00460656"/>
    <w:rsid w:val="00460FB3"/>
    <w:rsid w:val="00463D3C"/>
    <w:rsid w:val="00464851"/>
    <w:rsid w:val="00466595"/>
    <w:rsid w:val="0046746A"/>
    <w:rsid w:val="00467B14"/>
    <w:rsid w:val="004707FE"/>
    <w:rsid w:val="00470EDC"/>
    <w:rsid w:val="0047276D"/>
    <w:rsid w:val="00472AF6"/>
    <w:rsid w:val="00473482"/>
    <w:rsid w:val="00474A04"/>
    <w:rsid w:val="00476240"/>
    <w:rsid w:val="00476439"/>
    <w:rsid w:val="00476450"/>
    <w:rsid w:val="004769E1"/>
    <w:rsid w:val="0047735C"/>
    <w:rsid w:val="004776BC"/>
    <w:rsid w:val="00477820"/>
    <w:rsid w:val="00477B96"/>
    <w:rsid w:val="00480BAE"/>
    <w:rsid w:val="0048139F"/>
    <w:rsid w:val="00481E40"/>
    <w:rsid w:val="00482405"/>
    <w:rsid w:val="004826A7"/>
    <w:rsid w:val="0048368C"/>
    <w:rsid w:val="0048372F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79A5"/>
    <w:rsid w:val="004A0144"/>
    <w:rsid w:val="004A036E"/>
    <w:rsid w:val="004A0498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468"/>
    <w:rsid w:val="004B6EF8"/>
    <w:rsid w:val="004B7125"/>
    <w:rsid w:val="004B756A"/>
    <w:rsid w:val="004B7FB1"/>
    <w:rsid w:val="004C0B3F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E01"/>
    <w:rsid w:val="0052337A"/>
    <w:rsid w:val="00524385"/>
    <w:rsid w:val="005246BE"/>
    <w:rsid w:val="00525137"/>
    <w:rsid w:val="005251DD"/>
    <w:rsid w:val="0053012B"/>
    <w:rsid w:val="005301A6"/>
    <w:rsid w:val="00530A68"/>
    <w:rsid w:val="00530AD4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5F6"/>
    <w:rsid w:val="0054582F"/>
    <w:rsid w:val="005500F9"/>
    <w:rsid w:val="00550160"/>
    <w:rsid w:val="005523A8"/>
    <w:rsid w:val="00552F2C"/>
    <w:rsid w:val="00553A25"/>
    <w:rsid w:val="005547EB"/>
    <w:rsid w:val="005555E0"/>
    <w:rsid w:val="0055599F"/>
    <w:rsid w:val="00556D68"/>
    <w:rsid w:val="005570D6"/>
    <w:rsid w:val="00557E0E"/>
    <w:rsid w:val="00557E45"/>
    <w:rsid w:val="00560C41"/>
    <w:rsid w:val="00561F44"/>
    <w:rsid w:val="00562B4D"/>
    <w:rsid w:val="00563EB8"/>
    <w:rsid w:val="005647BF"/>
    <w:rsid w:val="00564AF1"/>
    <w:rsid w:val="005655DB"/>
    <w:rsid w:val="00565E88"/>
    <w:rsid w:val="00567339"/>
    <w:rsid w:val="005678EE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519A"/>
    <w:rsid w:val="005856BD"/>
    <w:rsid w:val="00586BCA"/>
    <w:rsid w:val="00587038"/>
    <w:rsid w:val="00590B28"/>
    <w:rsid w:val="005911BE"/>
    <w:rsid w:val="00591273"/>
    <w:rsid w:val="00591E9E"/>
    <w:rsid w:val="005927A4"/>
    <w:rsid w:val="00593152"/>
    <w:rsid w:val="00593FE6"/>
    <w:rsid w:val="005956A3"/>
    <w:rsid w:val="00595958"/>
    <w:rsid w:val="00595CAB"/>
    <w:rsid w:val="0059622E"/>
    <w:rsid w:val="00597671"/>
    <w:rsid w:val="00597BBF"/>
    <w:rsid w:val="005A0463"/>
    <w:rsid w:val="005A0948"/>
    <w:rsid w:val="005A0A03"/>
    <w:rsid w:val="005A10F2"/>
    <w:rsid w:val="005A21E0"/>
    <w:rsid w:val="005A28FF"/>
    <w:rsid w:val="005A2C09"/>
    <w:rsid w:val="005A3778"/>
    <w:rsid w:val="005A3DF8"/>
    <w:rsid w:val="005A5549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11B8"/>
    <w:rsid w:val="005C216C"/>
    <w:rsid w:val="005C2609"/>
    <w:rsid w:val="005C2B30"/>
    <w:rsid w:val="005C412B"/>
    <w:rsid w:val="005C43EC"/>
    <w:rsid w:val="005C45DD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6F0"/>
    <w:rsid w:val="005F6D7F"/>
    <w:rsid w:val="005F7174"/>
    <w:rsid w:val="0060120D"/>
    <w:rsid w:val="00601ADE"/>
    <w:rsid w:val="00601EEF"/>
    <w:rsid w:val="0060255A"/>
    <w:rsid w:val="00602EB3"/>
    <w:rsid w:val="00604307"/>
    <w:rsid w:val="0060487F"/>
    <w:rsid w:val="00604EAD"/>
    <w:rsid w:val="0060513F"/>
    <w:rsid w:val="0060694B"/>
    <w:rsid w:val="006104FB"/>
    <w:rsid w:val="0061176D"/>
    <w:rsid w:val="0061200F"/>
    <w:rsid w:val="00612756"/>
    <w:rsid w:val="00612A2F"/>
    <w:rsid w:val="00612AAE"/>
    <w:rsid w:val="00612FD9"/>
    <w:rsid w:val="006139E0"/>
    <w:rsid w:val="00614D35"/>
    <w:rsid w:val="006156B4"/>
    <w:rsid w:val="00615DAF"/>
    <w:rsid w:val="00616E05"/>
    <w:rsid w:val="00617985"/>
    <w:rsid w:val="00620B77"/>
    <w:rsid w:val="0062131B"/>
    <w:rsid w:val="00621E26"/>
    <w:rsid w:val="006224EA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3BD0"/>
    <w:rsid w:val="00654110"/>
    <w:rsid w:val="00656C5D"/>
    <w:rsid w:val="00656CFB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3CC"/>
    <w:rsid w:val="00665982"/>
    <w:rsid w:val="00665BA4"/>
    <w:rsid w:val="00666BF3"/>
    <w:rsid w:val="00667856"/>
    <w:rsid w:val="00667AF2"/>
    <w:rsid w:val="00670489"/>
    <w:rsid w:val="006710C9"/>
    <w:rsid w:val="00672586"/>
    <w:rsid w:val="006741CD"/>
    <w:rsid w:val="00674D89"/>
    <w:rsid w:val="0067514E"/>
    <w:rsid w:val="00675E37"/>
    <w:rsid w:val="00676736"/>
    <w:rsid w:val="006769A4"/>
    <w:rsid w:val="006769C6"/>
    <w:rsid w:val="00676D76"/>
    <w:rsid w:val="00676F9F"/>
    <w:rsid w:val="00677519"/>
    <w:rsid w:val="00677591"/>
    <w:rsid w:val="00677594"/>
    <w:rsid w:val="0068032F"/>
    <w:rsid w:val="00680D37"/>
    <w:rsid w:val="0068174E"/>
    <w:rsid w:val="00681DCE"/>
    <w:rsid w:val="00682110"/>
    <w:rsid w:val="0068260E"/>
    <w:rsid w:val="006846B3"/>
    <w:rsid w:val="00684D59"/>
    <w:rsid w:val="00684E25"/>
    <w:rsid w:val="006858A4"/>
    <w:rsid w:val="00686718"/>
    <w:rsid w:val="00686BFA"/>
    <w:rsid w:val="00686DED"/>
    <w:rsid w:val="006875A0"/>
    <w:rsid w:val="006878C6"/>
    <w:rsid w:val="00687D27"/>
    <w:rsid w:val="00691943"/>
    <w:rsid w:val="00693550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5F4B"/>
    <w:rsid w:val="006A65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4355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317E"/>
    <w:rsid w:val="006D3E8A"/>
    <w:rsid w:val="006D61F6"/>
    <w:rsid w:val="006E1332"/>
    <w:rsid w:val="006E279A"/>
    <w:rsid w:val="006E313B"/>
    <w:rsid w:val="006E34B2"/>
    <w:rsid w:val="006E3A45"/>
    <w:rsid w:val="006E4078"/>
    <w:rsid w:val="006E53AD"/>
    <w:rsid w:val="006E58CB"/>
    <w:rsid w:val="006E7227"/>
    <w:rsid w:val="006E761A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70398A"/>
    <w:rsid w:val="00705242"/>
    <w:rsid w:val="007055E0"/>
    <w:rsid w:val="007056ED"/>
    <w:rsid w:val="00705F4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E4D"/>
    <w:rsid w:val="0071677A"/>
    <w:rsid w:val="00716F48"/>
    <w:rsid w:val="00717114"/>
    <w:rsid w:val="0071779F"/>
    <w:rsid w:val="007211F5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E8"/>
    <w:rsid w:val="00730F1B"/>
    <w:rsid w:val="0073186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BF"/>
    <w:rsid w:val="007471A1"/>
    <w:rsid w:val="007477BD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70CFC"/>
    <w:rsid w:val="0077130E"/>
    <w:rsid w:val="007715EE"/>
    <w:rsid w:val="00771972"/>
    <w:rsid w:val="00772279"/>
    <w:rsid w:val="00772DAB"/>
    <w:rsid w:val="00772FF9"/>
    <w:rsid w:val="00774D2C"/>
    <w:rsid w:val="0077605B"/>
    <w:rsid w:val="00776169"/>
    <w:rsid w:val="00776527"/>
    <w:rsid w:val="00777040"/>
    <w:rsid w:val="00777CE6"/>
    <w:rsid w:val="00777D57"/>
    <w:rsid w:val="00780EF1"/>
    <w:rsid w:val="00781A91"/>
    <w:rsid w:val="00781F3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782"/>
    <w:rsid w:val="007A516D"/>
    <w:rsid w:val="007A5E65"/>
    <w:rsid w:val="007A65E1"/>
    <w:rsid w:val="007A6AAA"/>
    <w:rsid w:val="007A7033"/>
    <w:rsid w:val="007A775D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C10BD"/>
    <w:rsid w:val="007C1F0C"/>
    <w:rsid w:val="007C1FFB"/>
    <w:rsid w:val="007C2D94"/>
    <w:rsid w:val="007C5F92"/>
    <w:rsid w:val="007C6227"/>
    <w:rsid w:val="007C6BBD"/>
    <w:rsid w:val="007C6D89"/>
    <w:rsid w:val="007C6F5E"/>
    <w:rsid w:val="007D0382"/>
    <w:rsid w:val="007D14FE"/>
    <w:rsid w:val="007D1A1F"/>
    <w:rsid w:val="007D213B"/>
    <w:rsid w:val="007D2E18"/>
    <w:rsid w:val="007D40DF"/>
    <w:rsid w:val="007D42E5"/>
    <w:rsid w:val="007D4458"/>
    <w:rsid w:val="007D6AF9"/>
    <w:rsid w:val="007E0535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FF6"/>
    <w:rsid w:val="00822574"/>
    <w:rsid w:val="00822980"/>
    <w:rsid w:val="00822F08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114D"/>
    <w:rsid w:val="008520A8"/>
    <w:rsid w:val="00852217"/>
    <w:rsid w:val="00853282"/>
    <w:rsid w:val="0085334C"/>
    <w:rsid w:val="00855408"/>
    <w:rsid w:val="00855D03"/>
    <w:rsid w:val="00856D65"/>
    <w:rsid w:val="00861B41"/>
    <w:rsid w:val="00861B9F"/>
    <w:rsid w:val="00861BE3"/>
    <w:rsid w:val="008625D3"/>
    <w:rsid w:val="00863434"/>
    <w:rsid w:val="0086344F"/>
    <w:rsid w:val="008641AC"/>
    <w:rsid w:val="00865E4C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FE8"/>
    <w:rsid w:val="00875A32"/>
    <w:rsid w:val="00876086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1717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A16"/>
    <w:rsid w:val="008D33F5"/>
    <w:rsid w:val="008D35E4"/>
    <w:rsid w:val="008D3ACD"/>
    <w:rsid w:val="008D6C3A"/>
    <w:rsid w:val="008D70E2"/>
    <w:rsid w:val="008E0001"/>
    <w:rsid w:val="008E292B"/>
    <w:rsid w:val="008E2C57"/>
    <w:rsid w:val="008E31FF"/>
    <w:rsid w:val="008E3287"/>
    <w:rsid w:val="008E6DCB"/>
    <w:rsid w:val="008E6F06"/>
    <w:rsid w:val="008E7B8E"/>
    <w:rsid w:val="008E7FC9"/>
    <w:rsid w:val="008F0107"/>
    <w:rsid w:val="008F029B"/>
    <w:rsid w:val="008F0589"/>
    <w:rsid w:val="008F2A5D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55E"/>
    <w:rsid w:val="00912437"/>
    <w:rsid w:val="00912A92"/>
    <w:rsid w:val="00915D07"/>
    <w:rsid w:val="009162AE"/>
    <w:rsid w:val="00917251"/>
    <w:rsid w:val="0091728D"/>
    <w:rsid w:val="0092036B"/>
    <w:rsid w:val="009203CC"/>
    <w:rsid w:val="00920EC4"/>
    <w:rsid w:val="0092180B"/>
    <w:rsid w:val="00921F14"/>
    <w:rsid w:val="0092292F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F4A"/>
    <w:rsid w:val="009341F1"/>
    <w:rsid w:val="00934FF2"/>
    <w:rsid w:val="009358D7"/>
    <w:rsid w:val="00935BD4"/>
    <w:rsid w:val="00935DFE"/>
    <w:rsid w:val="00935F70"/>
    <w:rsid w:val="009373B2"/>
    <w:rsid w:val="00937AE2"/>
    <w:rsid w:val="0094061F"/>
    <w:rsid w:val="00940F0F"/>
    <w:rsid w:val="0094416B"/>
    <w:rsid w:val="0094427A"/>
    <w:rsid w:val="00944C7C"/>
    <w:rsid w:val="00945245"/>
    <w:rsid w:val="00945523"/>
    <w:rsid w:val="00950921"/>
    <w:rsid w:val="00951D68"/>
    <w:rsid w:val="00951E5B"/>
    <w:rsid w:val="00952B7B"/>
    <w:rsid w:val="00954F39"/>
    <w:rsid w:val="009555FD"/>
    <w:rsid w:val="0095664B"/>
    <w:rsid w:val="009568DC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2CF3"/>
    <w:rsid w:val="00993194"/>
    <w:rsid w:val="0099321E"/>
    <w:rsid w:val="00994171"/>
    <w:rsid w:val="00994868"/>
    <w:rsid w:val="00994D28"/>
    <w:rsid w:val="00994F2C"/>
    <w:rsid w:val="009957CC"/>
    <w:rsid w:val="009968D6"/>
    <w:rsid w:val="00997953"/>
    <w:rsid w:val="009A0BFF"/>
    <w:rsid w:val="009A10A0"/>
    <w:rsid w:val="009A1CAB"/>
    <w:rsid w:val="009A2359"/>
    <w:rsid w:val="009A24F1"/>
    <w:rsid w:val="009A27E0"/>
    <w:rsid w:val="009A4D57"/>
    <w:rsid w:val="009A51A5"/>
    <w:rsid w:val="009A60D1"/>
    <w:rsid w:val="009A6225"/>
    <w:rsid w:val="009A64F5"/>
    <w:rsid w:val="009B00D2"/>
    <w:rsid w:val="009B05B3"/>
    <w:rsid w:val="009B284F"/>
    <w:rsid w:val="009B3764"/>
    <w:rsid w:val="009B52AC"/>
    <w:rsid w:val="009B59EA"/>
    <w:rsid w:val="009B66CE"/>
    <w:rsid w:val="009B6FD3"/>
    <w:rsid w:val="009B72BE"/>
    <w:rsid w:val="009B78A4"/>
    <w:rsid w:val="009B7DB2"/>
    <w:rsid w:val="009C03DB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306F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ED"/>
    <w:rsid w:val="00A16C37"/>
    <w:rsid w:val="00A16E1D"/>
    <w:rsid w:val="00A171D5"/>
    <w:rsid w:val="00A17A15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731E"/>
    <w:rsid w:val="00A309AC"/>
    <w:rsid w:val="00A30F65"/>
    <w:rsid w:val="00A3279E"/>
    <w:rsid w:val="00A35900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81652"/>
    <w:rsid w:val="00A82C91"/>
    <w:rsid w:val="00A83150"/>
    <w:rsid w:val="00A83398"/>
    <w:rsid w:val="00A83D6E"/>
    <w:rsid w:val="00A83FD5"/>
    <w:rsid w:val="00A8521A"/>
    <w:rsid w:val="00A857C0"/>
    <w:rsid w:val="00A85AC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F1A"/>
    <w:rsid w:val="00A96116"/>
    <w:rsid w:val="00A9614E"/>
    <w:rsid w:val="00A96422"/>
    <w:rsid w:val="00A96C0F"/>
    <w:rsid w:val="00A97075"/>
    <w:rsid w:val="00AA0E80"/>
    <w:rsid w:val="00AA17CD"/>
    <w:rsid w:val="00AA1D85"/>
    <w:rsid w:val="00AA212F"/>
    <w:rsid w:val="00AA26A9"/>
    <w:rsid w:val="00AA2996"/>
    <w:rsid w:val="00AA2AF4"/>
    <w:rsid w:val="00AA4282"/>
    <w:rsid w:val="00AA4790"/>
    <w:rsid w:val="00AA52BF"/>
    <w:rsid w:val="00AA559A"/>
    <w:rsid w:val="00AA6C31"/>
    <w:rsid w:val="00AA7752"/>
    <w:rsid w:val="00AA7CE8"/>
    <w:rsid w:val="00AB1457"/>
    <w:rsid w:val="00AB2AF1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6414"/>
    <w:rsid w:val="00AE7269"/>
    <w:rsid w:val="00AE797C"/>
    <w:rsid w:val="00AE7CE7"/>
    <w:rsid w:val="00AE7FAB"/>
    <w:rsid w:val="00AF0DE4"/>
    <w:rsid w:val="00AF1E87"/>
    <w:rsid w:val="00AF436B"/>
    <w:rsid w:val="00AF5179"/>
    <w:rsid w:val="00AF5CC2"/>
    <w:rsid w:val="00AF6776"/>
    <w:rsid w:val="00AF6F98"/>
    <w:rsid w:val="00B00550"/>
    <w:rsid w:val="00B00913"/>
    <w:rsid w:val="00B01593"/>
    <w:rsid w:val="00B01FF9"/>
    <w:rsid w:val="00B023F2"/>
    <w:rsid w:val="00B038CA"/>
    <w:rsid w:val="00B06DB4"/>
    <w:rsid w:val="00B0750D"/>
    <w:rsid w:val="00B0799C"/>
    <w:rsid w:val="00B102CE"/>
    <w:rsid w:val="00B10A4D"/>
    <w:rsid w:val="00B10C90"/>
    <w:rsid w:val="00B11002"/>
    <w:rsid w:val="00B1114F"/>
    <w:rsid w:val="00B121B2"/>
    <w:rsid w:val="00B141B6"/>
    <w:rsid w:val="00B14BC1"/>
    <w:rsid w:val="00B162C3"/>
    <w:rsid w:val="00B16DD1"/>
    <w:rsid w:val="00B16EB8"/>
    <w:rsid w:val="00B17E71"/>
    <w:rsid w:val="00B17FDE"/>
    <w:rsid w:val="00B20632"/>
    <w:rsid w:val="00B2379C"/>
    <w:rsid w:val="00B23D5D"/>
    <w:rsid w:val="00B23E6E"/>
    <w:rsid w:val="00B2687D"/>
    <w:rsid w:val="00B3108D"/>
    <w:rsid w:val="00B32DDB"/>
    <w:rsid w:val="00B32F57"/>
    <w:rsid w:val="00B3345C"/>
    <w:rsid w:val="00B34528"/>
    <w:rsid w:val="00B34CC9"/>
    <w:rsid w:val="00B34CDA"/>
    <w:rsid w:val="00B3563B"/>
    <w:rsid w:val="00B36BDC"/>
    <w:rsid w:val="00B37D3A"/>
    <w:rsid w:val="00B37D96"/>
    <w:rsid w:val="00B402FC"/>
    <w:rsid w:val="00B422E2"/>
    <w:rsid w:val="00B42D5F"/>
    <w:rsid w:val="00B43216"/>
    <w:rsid w:val="00B439DA"/>
    <w:rsid w:val="00B4411A"/>
    <w:rsid w:val="00B45FE8"/>
    <w:rsid w:val="00B46604"/>
    <w:rsid w:val="00B47089"/>
    <w:rsid w:val="00B47587"/>
    <w:rsid w:val="00B52151"/>
    <w:rsid w:val="00B530CD"/>
    <w:rsid w:val="00B53639"/>
    <w:rsid w:val="00B53C7D"/>
    <w:rsid w:val="00B53E56"/>
    <w:rsid w:val="00B55A97"/>
    <w:rsid w:val="00B55F5E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80F"/>
    <w:rsid w:val="00B76B48"/>
    <w:rsid w:val="00B76D1E"/>
    <w:rsid w:val="00B77543"/>
    <w:rsid w:val="00B77584"/>
    <w:rsid w:val="00B80EC6"/>
    <w:rsid w:val="00B81288"/>
    <w:rsid w:val="00B81D70"/>
    <w:rsid w:val="00B833B9"/>
    <w:rsid w:val="00B83E07"/>
    <w:rsid w:val="00B84CF6"/>
    <w:rsid w:val="00B85016"/>
    <w:rsid w:val="00B8561A"/>
    <w:rsid w:val="00B86643"/>
    <w:rsid w:val="00B868F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7ACC"/>
    <w:rsid w:val="00B97FE2"/>
    <w:rsid w:val="00BA0E0B"/>
    <w:rsid w:val="00BA201A"/>
    <w:rsid w:val="00BA361D"/>
    <w:rsid w:val="00BA3787"/>
    <w:rsid w:val="00BA403A"/>
    <w:rsid w:val="00BA46E8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AB2"/>
    <w:rsid w:val="00BB5ABF"/>
    <w:rsid w:val="00BB6EA2"/>
    <w:rsid w:val="00BB7B5B"/>
    <w:rsid w:val="00BB7EB1"/>
    <w:rsid w:val="00BC003F"/>
    <w:rsid w:val="00BC0930"/>
    <w:rsid w:val="00BC327F"/>
    <w:rsid w:val="00BC3512"/>
    <w:rsid w:val="00BC50BE"/>
    <w:rsid w:val="00BC5332"/>
    <w:rsid w:val="00BC5715"/>
    <w:rsid w:val="00BC5C12"/>
    <w:rsid w:val="00BC7154"/>
    <w:rsid w:val="00BC731E"/>
    <w:rsid w:val="00BC7614"/>
    <w:rsid w:val="00BD25BB"/>
    <w:rsid w:val="00BD2AF8"/>
    <w:rsid w:val="00BD366B"/>
    <w:rsid w:val="00BD3C09"/>
    <w:rsid w:val="00BD410B"/>
    <w:rsid w:val="00BD4A73"/>
    <w:rsid w:val="00BD6C75"/>
    <w:rsid w:val="00BD6D50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4329"/>
    <w:rsid w:val="00BF4E43"/>
    <w:rsid w:val="00BF5C4C"/>
    <w:rsid w:val="00BF77FC"/>
    <w:rsid w:val="00C006D6"/>
    <w:rsid w:val="00C00BD7"/>
    <w:rsid w:val="00C01410"/>
    <w:rsid w:val="00C04B78"/>
    <w:rsid w:val="00C052AA"/>
    <w:rsid w:val="00C06EE3"/>
    <w:rsid w:val="00C07749"/>
    <w:rsid w:val="00C11244"/>
    <w:rsid w:val="00C11D48"/>
    <w:rsid w:val="00C1246C"/>
    <w:rsid w:val="00C1493E"/>
    <w:rsid w:val="00C15DBD"/>
    <w:rsid w:val="00C2010D"/>
    <w:rsid w:val="00C20CB5"/>
    <w:rsid w:val="00C21430"/>
    <w:rsid w:val="00C216DF"/>
    <w:rsid w:val="00C21E61"/>
    <w:rsid w:val="00C21F94"/>
    <w:rsid w:val="00C234DB"/>
    <w:rsid w:val="00C2479A"/>
    <w:rsid w:val="00C24903"/>
    <w:rsid w:val="00C2590D"/>
    <w:rsid w:val="00C25D9C"/>
    <w:rsid w:val="00C27913"/>
    <w:rsid w:val="00C300E2"/>
    <w:rsid w:val="00C31F21"/>
    <w:rsid w:val="00C32631"/>
    <w:rsid w:val="00C33301"/>
    <w:rsid w:val="00C33311"/>
    <w:rsid w:val="00C33B68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1F47"/>
    <w:rsid w:val="00C62828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90CF4"/>
    <w:rsid w:val="00C91C20"/>
    <w:rsid w:val="00C922DE"/>
    <w:rsid w:val="00C92843"/>
    <w:rsid w:val="00C92EB6"/>
    <w:rsid w:val="00C93389"/>
    <w:rsid w:val="00C948E6"/>
    <w:rsid w:val="00C94CDD"/>
    <w:rsid w:val="00C97588"/>
    <w:rsid w:val="00CA0346"/>
    <w:rsid w:val="00CA0DA1"/>
    <w:rsid w:val="00CA1BD6"/>
    <w:rsid w:val="00CA37FF"/>
    <w:rsid w:val="00CA423A"/>
    <w:rsid w:val="00CA47BC"/>
    <w:rsid w:val="00CA5EAD"/>
    <w:rsid w:val="00CA6AB4"/>
    <w:rsid w:val="00CA7255"/>
    <w:rsid w:val="00CB1BEE"/>
    <w:rsid w:val="00CB2351"/>
    <w:rsid w:val="00CB4930"/>
    <w:rsid w:val="00CB4BA9"/>
    <w:rsid w:val="00CB4C63"/>
    <w:rsid w:val="00CB5A48"/>
    <w:rsid w:val="00CB5E10"/>
    <w:rsid w:val="00CB613B"/>
    <w:rsid w:val="00CB6152"/>
    <w:rsid w:val="00CB64E1"/>
    <w:rsid w:val="00CB6E4D"/>
    <w:rsid w:val="00CC0834"/>
    <w:rsid w:val="00CC0AEA"/>
    <w:rsid w:val="00CC20FE"/>
    <w:rsid w:val="00CC2E7D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10A5"/>
    <w:rsid w:val="00CD1129"/>
    <w:rsid w:val="00CD1A80"/>
    <w:rsid w:val="00CD1CB5"/>
    <w:rsid w:val="00CD2076"/>
    <w:rsid w:val="00CD24CE"/>
    <w:rsid w:val="00CD29B5"/>
    <w:rsid w:val="00CD2B78"/>
    <w:rsid w:val="00CD3FAB"/>
    <w:rsid w:val="00CD5456"/>
    <w:rsid w:val="00CD5C3E"/>
    <w:rsid w:val="00CD5C57"/>
    <w:rsid w:val="00CD6331"/>
    <w:rsid w:val="00CE14BE"/>
    <w:rsid w:val="00CE17A4"/>
    <w:rsid w:val="00CE1BA9"/>
    <w:rsid w:val="00CE2D8F"/>
    <w:rsid w:val="00CE3E48"/>
    <w:rsid w:val="00CE47B8"/>
    <w:rsid w:val="00CE62FA"/>
    <w:rsid w:val="00CE670B"/>
    <w:rsid w:val="00CE6833"/>
    <w:rsid w:val="00CF020B"/>
    <w:rsid w:val="00CF2E4D"/>
    <w:rsid w:val="00CF4205"/>
    <w:rsid w:val="00CF4908"/>
    <w:rsid w:val="00CF51EC"/>
    <w:rsid w:val="00CF545D"/>
    <w:rsid w:val="00CF5873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FAE"/>
    <w:rsid w:val="00D25F28"/>
    <w:rsid w:val="00D26071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1FAB"/>
    <w:rsid w:val="00D63BE5"/>
    <w:rsid w:val="00D6475F"/>
    <w:rsid w:val="00D66223"/>
    <w:rsid w:val="00D667B8"/>
    <w:rsid w:val="00D70289"/>
    <w:rsid w:val="00D70822"/>
    <w:rsid w:val="00D72076"/>
    <w:rsid w:val="00D726A9"/>
    <w:rsid w:val="00D72DBA"/>
    <w:rsid w:val="00D743E0"/>
    <w:rsid w:val="00D7490C"/>
    <w:rsid w:val="00D75AC1"/>
    <w:rsid w:val="00D77252"/>
    <w:rsid w:val="00D8084C"/>
    <w:rsid w:val="00D81809"/>
    <w:rsid w:val="00D82EF1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5302"/>
    <w:rsid w:val="00D95C5D"/>
    <w:rsid w:val="00D97D00"/>
    <w:rsid w:val="00DA096C"/>
    <w:rsid w:val="00DA1AB6"/>
    <w:rsid w:val="00DA2E65"/>
    <w:rsid w:val="00DA3ADF"/>
    <w:rsid w:val="00DA4174"/>
    <w:rsid w:val="00DA544C"/>
    <w:rsid w:val="00DA5F8E"/>
    <w:rsid w:val="00DA6364"/>
    <w:rsid w:val="00DA7114"/>
    <w:rsid w:val="00DA7C0C"/>
    <w:rsid w:val="00DB03DD"/>
    <w:rsid w:val="00DB08A9"/>
    <w:rsid w:val="00DB0B33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2B41"/>
    <w:rsid w:val="00DC3128"/>
    <w:rsid w:val="00DC435B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D8B"/>
    <w:rsid w:val="00DE1237"/>
    <w:rsid w:val="00DE140F"/>
    <w:rsid w:val="00DE17E9"/>
    <w:rsid w:val="00DE2491"/>
    <w:rsid w:val="00DE450F"/>
    <w:rsid w:val="00DE5CA6"/>
    <w:rsid w:val="00DE7AC8"/>
    <w:rsid w:val="00DF0830"/>
    <w:rsid w:val="00DF2C5D"/>
    <w:rsid w:val="00DF3643"/>
    <w:rsid w:val="00DF42FF"/>
    <w:rsid w:val="00DF4369"/>
    <w:rsid w:val="00DF4423"/>
    <w:rsid w:val="00DF4ADF"/>
    <w:rsid w:val="00DF5D1E"/>
    <w:rsid w:val="00DF77E4"/>
    <w:rsid w:val="00DF7F88"/>
    <w:rsid w:val="00E01C0E"/>
    <w:rsid w:val="00E0368F"/>
    <w:rsid w:val="00E03D73"/>
    <w:rsid w:val="00E03F9A"/>
    <w:rsid w:val="00E040DA"/>
    <w:rsid w:val="00E04694"/>
    <w:rsid w:val="00E1168B"/>
    <w:rsid w:val="00E12191"/>
    <w:rsid w:val="00E129E7"/>
    <w:rsid w:val="00E12ABE"/>
    <w:rsid w:val="00E12B1E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30F15"/>
    <w:rsid w:val="00E31771"/>
    <w:rsid w:val="00E3186D"/>
    <w:rsid w:val="00E31A3E"/>
    <w:rsid w:val="00E32080"/>
    <w:rsid w:val="00E3309D"/>
    <w:rsid w:val="00E350B1"/>
    <w:rsid w:val="00E35A53"/>
    <w:rsid w:val="00E3656B"/>
    <w:rsid w:val="00E3724A"/>
    <w:rsid w:val="00E378B1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C5F"/>
    <w:rsid w:val="00E71A58"/>
    <w:rsid w:val="00E72A26"/>
    <w:rsid w:val="00E72A7A"/>
    <w:rsid w:val="00E7335A"/>
    <w:rsid w:val="00E7467D"/>
    <w:rsid w:val="00E747DC"/>
    <w:rsid w:val="00E74A2D"/>
    <w:rsid w:val="00E75C94"/>
    <w:rsid w:val="00E76A08"/>
    <w:rsid w:val="00E76B9B"/>
    <w:rsid w:val="00E76E61"/>
    <w:rsid w:val="00E77CC0"/>
    <w:rsid w:val="00E80B3D"/>
    <w:rsid w:val="00E80CA3"/>
    <w:rsid w:val="00E82618"/>
    <w:rsid w:val="00E84E09"/>
    <w:rsid w:val="00E90CA8"/>
    <w:rsid w:val="00E930A1"/>
    <w:rsid w:val="00E93820"/>
    <w:rsid w:val="00E94A86"/>
    <w:rsid w:val="00E953F6"/>
    <w:rsid w:val="00E96143"/>
    <w:rsid w:val="00E96833"/>
    <w:rsid w:val="00E97506"/>
    <w:rsid w:val="00E97BB5"/>
    <w:rsid w:val="00EA0C68"/>
    <w:rsid w:val="00EA1D0E"/>
    <w:rsid w:val="00EA2072"/>
    <w:rsid w:val="00EA2841"/>
    <w:rsid w:val="00EA32BC"/>
    <w:rsid w:val="00EA35A7"/>
    <w:rsid w:val="00EA3B32"/>
    <w:rsid w:val="00EA3D05"/>
    <w:rsid w:val="00EA4402"/>
    <w:rsid w:val="00EA4B8D"/>
    <w:rsid w:val="00EA513E"/>
    <w:rsid w:val="00EA7419"/>
    <w:rsid w:val="00EB0E32"/>
    <w:rsid w:val="00EB3E60"/>
    <w:rsid w:val="00EB4511"/>
    <w:rsid w:val="00EB48D7"/>
    <w:rsid w:val="00EB4A8E"/>
    <w:rsid w:val="00EB4BC5"/>
    <w:rsid w:val="00EB5BF7"/>
    <w:rsid w:val="00EB5E79"/>
    <w:rsid w:val="00EB6FAC"/>
    <w:rsid w:val="00EB7BAC"/>
    <w:rsid w:val="00EC03D7"/>
    <w:rsid w:val="00EC13A7"/>
    <w:rsid w:val="00EC2EB6"/>
    <w:rsid w:val="00ED0EF0"/>
    <w:rsid w:val="00ED12B9"/>
    <w:rsid w:val="00ED16B8"/>
    <w:rsid w:val="00ED1DF0"/>
    <w:rsid w:val="00ED2386"/>
    <w:rsid w:val="00ED2EA1"/>
    <w:rsid w:val="00ED3851"/>
    <w:rsid w:val="00ED3F10"/>
    <w:rsid w:val="00ED4D04"/>
    <w:rsid w:val="00ED566D"/>
    <w:rsid w:val="00ED5907"/>
    <w:rsid w:val="00ED5F5B"/>
    <w:rsid w:val="00ED62C6"/>
    <w:rsid w:val="00ED64C1"/>
    <w:rsid w:val="00ED781F"/>
    <w:rsid w:val="00EE249F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0D90"/>
    <w:rsid w:val="00EF150D"/>
    <w:rsid w:val="00EF1F5A"/>
    <w:rsid w:val="00EF23B5"/>
    <w:rsid w:val="00EF47BF"/>
    <w:rsid w:val="00EF59B1"/>
    <w:rsid w:val="00EF5A13"/>
    <w:rsid w:val="00EF5FF9"/>
    <w:rsid w:val="00EF77D4"/>
    <w:rsid w:val="00EF7CC7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2CFB"/>
    <w:rsid w:val="00F13E60"/>
    <w:rsid w:val="00F13FDB"/>
    <w:rsid w:val="00F15AAA"/>
    <w:rsid w:val="00F15BEF"/>
    <w:rsid w:val="00F17898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EE5"/>
    <w:rsid w:val="00F27FB1"/>
    <w:rsid w:val="00F27FD6"/>
    <w:rsid w:val="00F307CB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EDC"/>
    <w:rsid w:val="00F437CC"/>
    <w:rsid w:val="00F44537"/>
    <w:rsid w:val="00F46185"/>
    <w:rsid w:val="00F46423"/>
    <w:rsid w:val="00F4696A"/>
    <w:rsid w:val="00F47067"/>
    <w:rsid w:val="00F47234"/>
    <w:rsid w:val="00F525AB"/>
    <w:rsid w:val="00F525EB"/>
    <w:rsid w:val="00F52CB5"/>
    <w:rsid w:val="00F53378"/>
    <w:rsid w:val="00F53A68"/>
    <w:rsid w:val="00F54934"/>
    <w:rsid w:val="00F55A92"/>
    <w:rsid w:val="00F575D3"/>
    <w:rsid w:val="00F62BFF"/>
    <w:rsid w:val="00F63AAE"/>
    <w:rsid w:val="00F63DDE"/>
    <w:rsid w:val="00F63FB7"/>
    <w:rsid w:val="00F6421B"/>
    <w:rsid w:val="00F647F1"/>
    <w:rsid w:val="00F649D2"/>
    <w:rsid w:val="00F6602B"/>
    <w:rsid w:val="00F7150B"/>
    <w:rsid w:val="00F717E4"/>
    <w:rsid w:val="00F71DE6"/>
    <w:rsid w:val="00F72D71"/>
    <w:rsid w:val="00F7381C"/>
    <w:rsid w:val="00F73A0C"/>
    <w:rsid w:val="00F7549F"/>
    <w:rsid w:val="00F756DB"/>
    <w:rsid w:val="00F767A8"/>
    <w:rsid w:val="00F77590"/>
    <w:rsid w:val="00F82D14"/>
    <w:rsid w:val="00F84E7D"/>
    <w:rsid w:val="00F85066"/>
    <w:rsid w:val="00F87A4D"/>
    <w:rsid w:val="00F93688"/>
    <w:rsid w:val="00F939F3"/>
    <w:rsid w:val="00F93C6E"/>
    <w:rsid w:val="00F93F2C"/>
    <w:rsid w:val="00F962AD"/>
    <w:rsid w:val="00F9644E"/>
    <w:rsid w:val="00FA0105"/>
    <w:rsid w:val="00FA05A0"/>
    <w:rsid w:val="00FA0AEF"/>
    <w:rsid w:val="00FA17CC"/>
    <w:rsid w:val="00FA1CFE"/>
    <w:rsid w:val="00FA1F01"/>
    <w:rsid w:val="00FA26DF"/>
    <w:rsid w:val="00FA32BC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64F"/>
    <w:rsid w:val="00FB616C"/>
    <w:rsid w:val="00FB7DBB"/>
    <w:rsid w:val="00FC05F8"/>
    <w:rsid w:val="00FC0E5F"/>
    <w:rsid w:val="00FC1266"/>
    <w:rsid w:val="00FC1A95"/>
    <w:rsid w:val="00FC1ED4"/>
    <w:rsid w:val="00FC3BEC"/>
    <w:rsid w:val="00FC440B"/>
    <w:rsid w:val="00FC56DE"/>
    <w:rsid w:val="00FC63D9"/>
    <w:rsid w:val="00FC64DE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D7802"/>
    <w:rsid w:val="00FE27C7"/>
    <w:rsid w:val="00FE2C7E"/>
    <w:rsid w:val="00FE2F78"/>
    <w:rsid w:val="00FE3137"/>
    <w:rsid w:val="00FE346B"/>
    <w:rsid w:val="00FE346F"/>
    <w:rsid w:val="00FE48E4"/>
    <w:rsid w:val="00FE634C"/>
    <w:rsid w:val="00FE6E69"/>
    <w:rsid w:val="00FE6F59"/>
    <w:rsid w:val="00FF01B6"/>
    <w:rsid w:val="00FF1136"/>
    <w:rsid w:val="00FF3D76"/>
    <w:rsid w:val="00FF5B8C"/>
    <w:rsid w:val="00FF63E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4EEB6EC"/>
  <w15:docId w15:val="{02E7EBF8-5A4E-462D-AC4B-706FC6EE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&#253;za\Q\2020Q3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581433637284705E-2"/>
          <c:y val="2.1711264016309892E-2"/>
          <c:w val="0.93508633063154345"/>
          <c:h val="0.731303613644050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'Měnové podmínky 1'!$C$5</c:f>
              <c:strCache>
                <c:ptCount val="1"/>
                <c:pt idx="0">
                  <c:v>2T repo sazba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multiLvlStrRef>
              <c:f>'Měnové podmínky 1'!$A$42:$B$110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'Měnové podmínky 1'!$C$42:$C$110</c:f>
              <c:numCache>
                <c:formatCode>0.00</c:formatCode>
                <c:ptCount val="69"/>
                <c:pt idx="0">
                  <c:v>0.05</c:v>
                </c:pt>
                <c:pt idx="1">
                  <c:v>0.05</c:v>
                </c:pt>
                <c:pt idx="2">
                  <c:v>0.05</c:v>
                </c:pt>
                <c:pt idx="3">
                  <c:v>0.05</c:v>
                </c:pt>
                <c:pt idx="4">
                  <c:v>0.05</c:v>
                </c:pt>
                <c:pt idx="5">
                  <c:v>0.05</c:v>
                </c:pt>
                <c:pt idx="6">
                  <c:v>0.05</c:v>
                </c:pt>
                <c:pt idx="7">
                  <c:v>0.05</c:v>
                </c:pt>
                <c:pt idx="8">
                  <c:v>0.05</c:v>
                </c:pt>
                <c:pt idx="9">
                  <c:v>0.05</c:v>
                </c:pt>
                <c:pt idx="10">
                  <c:v>0.05</c:v>
                </c:pt>
                <c:pt idx="11">
                  <c:v>0.05</c:v>
                </c:pt>
                <c:pt idx="12" formatCode="General">
                  <c:v>0.05</c:v>
                </c:pt>
                <c:pt idx="13" formatCode="General">
                  <c:v>0.05</c:v>
                </c:pt>
                <c:pt idx="14" formatCode="General">
                  <c:v>0.05</c:v>
                </c:pt>
                <c:pt idx="15" formatCode="General">
                  <c:v>0.05</c:v>
                </c:pt>
                <c:pt idx="16" formatCode="General">
                  <c:v>0.05</c:v>
                </c:pt>
                <c:pt idx="17" formatCode="General">
                  <c:v>0.05</c:v>
                </c:pt>
                <c:pt idx="18" formatCode="General">
                  <c:v>0.05</c:v>
                </c:pt>
                <c:pt idx="19" formatCode="General">
                  <c:v>0.05</c:v>
                </c:pt>
                <c:pt idx="20" formatCode="General">
                  <c:v>0.05</c:v>
                </c:pt>
                <c:pt idx="21" formatCode="General">
                  <c:v>0.05</c:v>
                </c:pt>
                <c:pt idx="22" formatCode="General">
                  <c:v>0.05</c:v>
                </c:pt>
                <c:pt idx="23" formatCode="General">
                  <c:v>0.05</c:v>
                </c:pt>
                <c:pt idx="24" formatCode="General">
                  <c:v>0.05</c:v>
                </c:pt>
                <c:pt idx="25" formatCode="General">
                  <c:v>0.05</c:v>
                </c:pt>
                <c:pt idx="26" formatCode="General">
                  <c:v>0.05</c:v>
                </c:pt>
                <c:pt idx="27" formatCode="General">
                  <c:v>0.05</c:v>
                </c:pt>
                <c:pt idx="28" formatCode="General">
                  <c:v>0.05</c:v>
                </c:pt>
                <c:pt idx="29" formatCode="General">
                  <c:v>0.05</c:v>
                </c:pt>
                <c:pt idx="30" formatCode="General">
                  <c:v>0.05</c:v>
                </c:pt>
                <c:pt idx="31" formatCode="General">
                  <c:v>0.25</c:v>
                </c:pt>
                <c:pt idx="32" formatCode="General">
                  <c:v>0.25</c:v>
                </c:pt>
                <c:pt idx="33" formatCode="General">
                  <c:v>0.25</c:v>
                </c:pt>
                <c:pt idx="34" formatCode="General">
                  <c:v>0.5</c:v>
                </c:pt>
                <c:pt idx="35" formatCode="General">
                  <c:v>0.5</c:v>
                </c:pt>
                <c:pt idx="36" formatCode="General">
                  <c:v>0.5</c:v>
                </c:pt>
                <c:pt idx="37" formatCode="General">
                  <c:v>0.75</c:v>
                </c:pt>
                <c:pt idx="38" formatCode="General">
                  <c:v>0.75</c:v>
                </c:pt>
                <c:pt idx="39" formatCode="General">
                  <c:v>0.75</c:v>
                </c:pt>
                <c:pt idx="40" formatCode="General">
                  <c:v>0.75</c:v>
                </c:pt>
                <c:pt idx="41" formatCode="General">
                  <c:v>1</c:v>
                </c:pt>
                <c:pt idx="42" formatCode="General">
                  <c:v>1</c:v>
                </c:pt>
                <c:pt idx="43" formatCode="General">
                  <c:v>1.25</c:v>
                </c:pt>
                <c:pt idx="44" formatCode="General">
                  <c:v>1.5</c:v>
                </c:pt>
                <c:pt idx="45" formatCode="General">
                  <c:v>1.5</c:v>
                </c:pt>
                <c:pt idx="46" formatCode="General">
                  <c:v>1.75</c:v>
                </c:pt>
                <c:pt idx="47" formatCode="General">
                  <c:v>1.75</c:v>
                </c:pt>
                <c:pt idx="48" formatCode="General">
                  <c:v>1.75</c:v>
                </c:pt>
                <c:pt idx="49" formatCode="General">
                  <c:v>1.75</c:v>
                </c:pt>
                <c:pt idx="50" formatCode="General">
                  <c:v>1.75</c:v>
                </c:pt>
                <c:pt idx="51" formatCode="General">
                  <c:v>1.75</c:v>
                </c:pt>
                <c:pt idx="52" formatCode="General">
                  <c:v>2</c:v>
                </c:pt>
                <c:pt idx="53" formatCode="General">
                  <c:v>2</c:v>
                </c:pt>
                <c:pt idx="54" formatCode="General">
                  <c:v>2</c:v>
                </c:pt>
                <c:pt idx="55" formatCode="General">
                  <c:v>2</c:v>
                </c:pt>
                <c:pt idx="56" formatCode="General">
                  <c:v>2</c:v>
                </c:pt>
                <c:pt idx="57" formatCode="General">
                  <c:v>2</c:v>
                </c:pt>
                <c:pt idx="58" formatCode="General">
                  <c:v>2</c:v>
                </c:pt>
                <c:pt idx="59" formatCode="General">
                  <c:v>2</c:v>
                </c:pt>
                <c:pt idx="60" formatCode="General">
                  <c:v>2</c:v>
                </c:pt>
                <c:pt idx="61" formatCode="General">
                  <c:v>2.25</c:v>
                </c:pt>
                <c:pt idx="62" formatCode="General">
                  <c:v>1</c:v>
                </c:pt>
                <c:pt idx="63" formatCode="General">
                  <c:v>1</c:v>
                </c:pt>
                <c:pt idx="64" formatCode="General">
                  <c:v>0.25</c:v>
                </c:pt>
                <c:pt idx="65" formatCode="General">
                  <c:v>0.25</c:v>
                </c:pt>
                <c:pt idx="66" formatCode="General">
                  <c:v>0.25</c:v>
                </c:pt>
                <c:pt idx="67" formatCode="General">
                  <c:v>0.25</c:v>
                </c:pt>
                <c:pt idx="68" formatCode="General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88-4BB6-9DDB-8D12485AED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271742464"/>
        <c:axId val="271744000"/>
      </c:barChart>
      <c:lineChart>
        <c:grouping val="standard"/>
        <c:varyColors val="0"/>
        <c:ser>
          <c:idx val="3"/>
          <c:order val="1"/>
          <c:tx>
            <c:strRef>
              <c:f>'Měnové podmínky 1'!$F$5</c:f>
              <c:strCache>
                <c:ptCount val="1"/>
                <c:pt idx="0">
                  <c:v>Průměrný výnos státních dluhopisů (2Y)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'Měnové podmínky 1'!$A$42:$B$110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'Měnové podmínky 1'!$F$42:$F$110</c:f>
              <c:numCache>
                <c:formatCode>General</c:formatCode>
                <c:ptCount val="69"/>
                <c:pt idx="0">
                  <c:v>0.09</c:v>
                </c:pt>
                <c:pt idx="1">
                  <c:v>0.06</c:v>
                </c:pt>
                <c:pt idx="2">
                  <c:v>0.04</c:v>
                </c:pt>
                <c:pt idx="3">
                  <c:v>-0.03</c:v>
                </c:pt>
                <c:pt idx="4">
                  <c:v>0.04</c:v>
                </c:pt>
                <c:pt idx="5">
                  <c:v>0.11</c:v>
                </c:pt>
                <c:pt idx="6">
                  <c:v>0.02</c:v>
                </c:pt>
                <c:pt idx="7">
                  <c:v>-7.0000000000000007E-2</c:v>
                </c:pt>
                <c:pt idx="8">
                  <c:v>-0.3</c:v>
                </c:pt>
                <c:pt idx="9">
                  <c:v>-0.28000000000000003</c:v>
                </c:pt>
                <c:pt idx="10">
                  <c:v>-0.33</c:v>
                </c:pt>
                <c:pt idx="11">
                  <c:v>-0.38</c:v>
                </c:pt>
                <c:pt idx="12">
                  <c:v>-0.21</c:v>
                </c:pt>
                <c:pt idx="13">
                  <c:v>-0.18</c:v>
                </c:pt>
                <c:pt idx="14">
                  <c:v>-0.17</c:v>
                </c:pt>
                <c:pt idx="15">
                  <c:v>-0.08</c:v>
                </c:pt>
                <c:pt idx="16">
                  <c:v>-0.04</c:v>
                </c:pt>
                <c:pt idx="17">
                  <c:v>-0.05</c:v>
                </c:pt>
                <c:pt idx="18">
                  <c:v>-0.13</c:v>
                </c:pt>
                <c:pt idx="19">
                  <c:v>-0.22</c:v>
                </c:pt>
                <c:pt idx="20">
                  <c:v>-0.5</c:v>
                </c:pt>
                <c:pt idx="21">
                  <c:v>-0.74</c:v>
                </c:pt>
                <c:pt idx="22">
                  <c:v>-0.73</c:v>
                </c:pt>
                <c:pt idx="23">
                  <c:v>-0.81</c:v>
                </c:pt>
                <c:pt idx="24">
                  <c:v>-0.88</c:v>
                </c:pt>
                <c:pt idx="25">
                  <c:v>-0.53</c:v>
                </c:pt>
                <c:pt idx="26">
                  <c:v>-0.44</c:v>
                </c:pt>
                <c:pt idx="27">
                  <c:v>-0.23</c:v>
                </c:pt>
                <c:pt idx="28">
                  <c:v>-0.24</c:v>
                </c:pt>
                <c:pt idx="29">
                  <c:v>-0.25</c:v>
                </c:pt>
                <c:pt idx="30">
                  <c:v>-0.28999999999999998</c:v>
                </c:pt>
                <c:pt idx="31">
                  <c:v>-0.33</c:v>
                </c:pt>
                <c:pt idx="32">
                  <c:v>-0.28999999999999998</c:v>
                </c:pt>
                <c:pt idx="33">
                  <c:v>0.12</c:v>
                </c:pt>
                <c:pt idx="34">
                  <c:v>0.31</c:v>
                </c:pt>
                <c:pt idx="35">
                  <c:v>0.19</c:v>
                </c:pt>
                <c:pt idx="36">
                  <c:v>0.46</c:v>
                </c:pt>
                <c:pt idx="37">
                  <c:v>0.55000000000000004</c:v>
                </c:pt>
                <c:pt idx="38">
                  <c:v>0.62</c:v>
                </c:pt>
                <c:pt idx="39">
                  <c:v>0.6</c:v>
                </c:pt>
                <c:pt idx="40">
                  <c:v>0.7</c:v>
                </c:pt>
                <c:pt idx="41">
                  <c:v>0.89</c:v>
                </c:pt>
                <c:pt idx="42">
                  <c:v>1.0900000000000001</c:v>
                </c:pt>
                <c:pt idx="43">
                  <c:v>1.26</c:v>
                </c:pt>
                <c:pt idx="44">
                  <c:v>1.34</c:v>
                </c:pt>
                <c:pt idx="45">
                  <c:v>1.44</c:v>
                </c:pt>
                <c:pt idx="46">
                  <c:v>1.49</c:v>
                </c:pt>
                <c:pt idx="47">
                  <c:v>1.52</c:v>
                </c:pt>
                <c:pt idx="48">
                  <c:v>1.66</c:v>
                </c:pt>
                <c:pt idx="49">
                  <c:v>1.74</c:v>
                </c:pt>
                <c:pt idx="50">
                  <c:v>1.71</c:v>
                </c:pt>
                <c:pt idx="51">
                  <c:v>1.63</c:v>
                </c:pt>
                <c:pt idx="52">
                  <c:v>1.62</c:v>
                </c:pt>
                <c:pt idx="53">
                  <c:v>1.52</c:v>
                </c:pt>
                <c:pt idx="54">
                  <c:v>1.35</c:v>
                </c:pt>
                <c:pt idx="55">
                  <c:v>0.85</c:v>
                </c:pt>
                <c:pt idx="56">
                  <c:v>1.07</c:v>
                </c:pt>
                <c:pt idx="57">
                  <c:v>1.17</c:v>
                </c:pt>
                <c:pt idx="58">
                  <c:v>1.33</c:v>
                </c:pt>
                <c:pt idx="59">
                  <c:v>1.36</c:v>
                </c:pt>
                <c:pt idx="60">
                  <c:v>1.55</c:v>
                </c:pt>
                <c:pt idx="61">
                  <c:v>1.57</c:v>
                </c:pt>
                <c:pt idx="62">
                  <c:v>1.27</c:v>
                </c:pt>
                <c:pt idx="63">
                  <c:v>0.71</c:v>
                </c:pt>
                <c:pt idx="64">
                  <c:v>0.13</c:v>
                </c:pt>
                <c:pt idx="65">
                  <c:v>0.08</c:v>
                </c:pt>
                <c:pt idx="66">
                  <c:v>0.02</c:v>
                </c:pt>
                <c:pt idx="67">
                  <c:v>0.04</c:v>
                </c:pt>
                <c:pt idx="68">
                  <c:v>0.05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88-4BB6-9DDB-8D12485AEDAF}"/>
            </c:ext>
          </c:extLst>
        </c:ser>
        <c:ser>
          <c:idx val="1"/>
          <c:order val="2"/>
          <c:tx>
            <c:strRef>
              <c:f>'Měnové podmínky 1'!$D$5</c:f>
              <c:strCache>
                <c:ptCount val="1"/>
                <c:pt idx="0">
                  <c:v>PRIBOR (3M)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'Měnové podmínky 1'!$A$42:$B$110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'Měnové podmínky 1'!$D$42:$D$110</c:f>
              <c:numCache>
                <c:formatCode>General</c:formatCode>
                <c:ptCount val="69"/>
                <c:pt idx="0">
                  <c:v>0.33</c:v>
                </c:pt>
                <c:pt idx="1">
                  <c:v>0.33</c:v>
                </c:pt>
                <c:pt idx="2">
                  <c:v>0.32</c:v>
                </c:pt>
                <c:pt idx="3">
                  <c:v>0.31</c:v>
                </c:pt>
                <c:pt idx="4">
                  <c:v>0.31</c:v>
                </c:pt>
                <c:pt idx="5">
                  <c:v>0.31</c:v>
                </c:pt>
                <c:pt idx="6">
                  <c:v>0.31</c:v>
                </c:pt>
                <c:pt idx="7">
                  <c:v>0.31</c:v>
                </c:pt>
                <c:pt idx="8">
                  <c:v>0.3</c:v>
                </c:pt>
                <c:pt idx="9">
                  <c:v>0.28999999999999998</c:v>
                </c:pt>
                <c:pt idx="10">
                  <c:v>0.28999999999999998</c:v>
                </c:pt>
                <c:pt idx="11">
                  <c:v>0.28999999999999998</c:v>
                </c:pt>
                <c:pt idx="12">
                  <c:v>0.28999999999999998</c:v>
                </c:pt>
                <c:pt idx="13">
                  <c:v>0.28000000000000003</c:v>
                </c:pt>
                <c:pt idx="14">
                  <c:v>0.28999999999999998</c:v>
                </c:pt>
                <c:pt idx="15">
                  <c:v>0.28999999999999998</c:v>
                </c:pt>
                <c:pt idx="16">
                  <c:v>0.28999999999999998</c:v>
                </c:pt>
                <c:pt idx="17">
                  <c:v>0.28999999999999998</c:v>
                </c:pt>
                <c:pt idx="18">
                  <c:v>0.28999999999999998</c:v>
                </c:pt>
                <c:pt idx="19">
                  <c:v>0.28999999999999998</c:v>
                </c:pt>
                <c:pt idx="20">
                  <c:v>0.28999999999999998</c:v>
                </c:pt>
                <c:pt idx="21">
                  <c:v>0.28999999999999998</c:v>
                </c:pt>
                <c:pt idx="22">
                  <c:v>0.28999999999999998</c:v>
                </c:pt>
                <c:pt idx="23">
                  <c:v>0.28999999999999998</c:v>
                </c:pt>
                <c:pt idx="24">
                  <c:v>0.28000000000000003</c:v>
                </c:pt>
                <c:pt idx="25">
                  <c:v>0.28000000000000003</c:v>
                </c:pt>
                <c:pt idx="26">
                  <c:v>0.28000000000000003</c:v>
                </c:pt>
                <c:pt idx="27">
                  <c:v>0.28999999999999998</c:v>
                </c:pt>
                <c:pt idx="28">
                  <c:v>0.3</c:v>
                </c:pt>
                <c:pt idx="29">
                  <c:v>0.3</c:v>
                </c:pt>
                <c:pt idx="30">
                  <c:v>0.3</c:v>
                </c:pt>
                <c:pt idx="31">
                  <c:v>0.43</c:v>
                </c:pt>
                <c:pt idx="32">
                  <c:v>0.46</c:v>
                </c:pt>
                <c:pt idx="33">
                  <c:v>0.51</c:v>
                </c:pt>
                <c:pt idx="34">
                  <c:v>0.71</c:v>
                </c:pt>
                <c:pt idx="35">
                  <c:v>0.75</c:v>
                </c:pt>
                <c:pt idx="36">
                  <c:v>0.77</c:v>
                </c:pt>
                <c:pt idx="37">
                  <c:v>0.9</c:v>
                </c:pt>
                <c:pt idx="38">
                  <c:v>0.9</c:v>
                </c:pt>
                <c:pt idx="39">
                  <c:v>0.9</c:v>
                </c:pt>
                <c:pt idx="40">
                  <c:v>0.9</c:v>
                </c:pt>
                <c:pt idx="41">
                  <c:v>0.93</c:v>
                </c:pt>
                <c:pt idx="42">
                  <c:v>1.18</c:v>
                </c:pt>
                <c:pt idx="43">
                  <c:v>1.45</c:v>
                </c:pt>
                <c:pt idx="44">
                  <c:v>1.54</c:v>
                </c:pt>
                <c:pt idx="45">
                  <c:v>1.76</c:v>
                </c:pt>
                <c:pt idx="46">
                  <c:v>1.99</c:v>
                </c:pt>
                <c:pt idx="47">
                  <c:v>2.0099999999999998</c:v>
                </c:pt>
                <c:pt idx="48">
                  <c:v>2.0099999999999998</c:v>
                </c:pt>
                <c:pt idx="49">
                  <c:v>2.0099999999999998</c:v>
                </c:pt>
                <c:pt idx="50">
                  <c:v>2.0299999999999998</c:v>
                </c:pt>
                <c:pt idx="51">
                  <c:v>2.02</c:v>
                </c:pt>
                <c:pt idx="52">
                  <c:v>2.19</c:v>
                </c:pt>
                <c:pt idx="53">
                  <c:v>2.17</c:v>
                </c:pt>
                <c:pt idx="54">
                  <c:v>2.16</c:v>
                </c:pt>
                <c:pt idx="55">
                  <c:v>2.14</c:v>
                </c:pt>
                <c:pt idx="56">
                  <c:v>2.14</c:v>
                </c:pt>
                <c:pt idx="57">
                  <c:v>2.17</c:v>
                </c:pt>
                <c:pt idx="58">
                  <c:v>2.1800000000000002</c:v>
                </c:pt>
                <c:pt idx="59">
                  <c:v>2.1800000000000002</c:v>
                </c:pt>
                <c:pt idx="60">
                  <c:v>2.17</c:v>
                </c:pt>
                <c:pt idx="61">
                  <c:v>2.34</c:v>
                </c:pt>
                <c:pt idx="62">
                  <c:v>2</c:v>
                </c:pt>
                <c:pt idx="63">
                  <c:v>0.97</c:v>
                </c:pt>
                <c:pt idx="64">
                  <c:v>0.46</c:v>
                </c:pt>
                <c:pt idx="65">
                  <c:v>0.34</c:v>
                </c:pt>
                <c:pt idx="66">
                  <c:v>0.34</c:v>
                </c:pt>
                <c:pt idx="67">
                  <c:v>0.34</c:v>
                </c:pt>
                <c:pt idx="68">
                  <c:v>0.34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88-4BB6-9DDB-8D12485AEDAF}"/>
            </c:ext>
          </c:extLst>
        </c:ser>
        <c:ser>
          <c:idx val="4"/>
          <c:order val="3"/>
          <c:tx>
            <c:strRef>
              <c:f>'Měnové podmínky 1'!$G$5</c:f>
              <c:strCache>
                <c:ptCount val="1"/>
                <c:pt idx="0">
                  <c:v>Průměrný výnos státních dluhopisů (5Y)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'Měnové podmínky 1'!$A$42:$B$110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'Měnové podmínky 1'!$G$42:$G$110</c:f>
              <c:numCache>
                <c:formatCode>General</c:formatCode>
                <c:ptCount val="69"/>
                <c:pt idx="0">
                  <c:v>0.13</c:v>
                </c:pt>
                <c:pt idx="1">
                  <c:v>0.17</c:v>
                </c:pt>
                <c:pt idx="2">
                  <c:v>0.14000000000000001</c:v>
                </c:pt>
                <c:pt idx="3">
                  <c:v>0.05</c:v>
                </c:pt>
                <c:pt idx="4">
                  <c:v>0.22</c:v>
                </c:pt>
                <c:pt idx="5">
                  <c:v>0.43</c:v>
                </c:pt>
                <c:pt idx="6">
                  <c:v>0.35</c:v>
                </c:pt>
                <c:pt idx="7">
                  <c:v>0.2</c:v>
                </c:pt>
                <c:pt idx="8">
                  <c:v>0.06</c:v>
                </c:pt>
                <c:pt idx="9">
                  <c:v>-0.05</c:v>
                </c:pt>
                <c:pt idx="10">
                  <c:v>-0.05</c:v>
                </c:pt>
                <c:pt idx="11">
                  <c:v>-0.11</c:v>
                </c:pt>
                <c:pt idx="12">
                  <c:v>0.04</c:v>
                </c:pt>
                <c:pt idx="13">
                  <c:v>-0.08</c:v>
                </c:pt>
                <c:pt idx="14">
                  <c:v>-0.1</c:v>
                </c:pt>
                <c:pt idx="15">
                  <c:v>0.04</c:v>
                </c:pt>
                <c:pt idx="16">
                  <c:v>7.0000000000000007E-2</c:v>
                </c:pt>
                <c:pt idx="17">
                  <c:v>0.05</c:v>
                </c:pt>
                <c:pt idx="18">
                  <c:v>-0.02</c:v>
                </c:pt>
                <c:pt idx="19">
                  <c:v>-0.09</c:v>
                </c:pt>
                <c:pt idx="20">
                  <c:v>-0.19</c:v>
                </c:pt>
                <c:pt idx="21">
                  <c:v>-0.17</c:v>
                </c:pt>
                <c:pt idx="22">
                  <c:v>-0.17</c:v>
                </c:pt>
                <c:pt idx="23">
                  <c:v>-0.21</c:v>
                </c:pt>
                <c:pt idx="24">
                  <c:v>-0.22</c:v>
                </c:pt>
                <c:pt idx="25">
                  <c:v>0.09</c:v>
                </c:pt>
                <c:pt idx="26">
                  <c:v>0.1</c:v>
                </c:pt>
                <c:pt idx="27">
                  <c:v>0.16</c:v>
                </c:pt>
                <c:pt idx="28">
                  <c:v>0.04</c:v>
                </c:pt>
                <c:pt idx="29">
                  <c:v>-0.03</c:v>
                </c:pt>
                <c:pt idx="30">
                  <c:v>0.14000000000000001</c:v>
                </c:pt>
                <c:pt idx="31">
                  <c:v>0.09</c:v>
                </c:pt>
                <c:pt idx="32">
                  <c:v>0.1</c:v>
                </c:pt>
                <c:pt idx="33">
                  <c:v>0.63</c:v>
                </c:pt>
                <c:pt idx="34">
                  <c:v>0.87</c:v>
                </c:pt>
                <c:pt idx="35">
                  <c:v>0.68</c:v>
                </c:pt>
                <c:pt idx="36">
                  <c:v>0.99</c:v>
                </c:pt>
                <c:pt idx="37">
                  <c:v>1.07</c:v>
                </c:pt>
                <c:pt idx="38">
                  <c:v>1.0900000000000001</c:v>
                </c:pt>
                <c:pt idx="39">
                  <c:v>1.05</c:v>
                </c:pt>
                <c:pt idx="40">
                  <c:v>1.21</c:v>
                </c:pt>
                <c:pt idx="41">
                  <c:v>1.41</c:v>
                </c:pt>
                <c:pt idx="42">
                  <c:v>1.44</c:v>
                </c:pt>
                <c:pt idx="43">
                  <c:v>1.55</c:v>
                </c:pt>
                <c:pt idx="44">
                  <c:v>1.7</c:v>
                </c:pt>
                <c:pt idx="45">
                  <c:v>1.81</c:v>
                </c:pt>
                <c:pt idx="46">
                  <c:v>1.79</c:v>
                </c:pt>
                <c:pt idx="47">
                  <c:v>1.71</c:v>
                </c:pt>
                <c:pt idx="48">
                  <c:v>1.6</c:v>
                </c:pt>
                <c:pt idx="49">
                  <c:v>1.61</c:v>
                </c:pt>
                <c:pt idx="50">
                  <c:v>1.7</c:v>
                </c:pt>
                <c:pt idx="51">
                  <c:v>1.63</c:v>
                </c:pt>
                <c:pt idx="52">
                  <c:v>1.57</c:v>
                </c:pt>
                <c:pt idx="53">
                  <c:v>1.43</c:v>
                </c:pt>
                <c:pt idx="54">
                  <c:v>1.31</c:v>
                </c:pt>
                <c:pt idx="55">
                  <c:v>0.89</c:v>
                </c:pt>
                <c:pt idx="56">
                  <c:v>1.1299999999999999</c:v>
                </c:pt>
                <c:pt idx="57">
                  <c:v>1.23</c:v>
                </c:pt>
                <c:pt idx="58">
                  <c:v>1.32</c:v>
                </c:pt>
                <c:pt idx="59">
                  <c:v>1.31</c:v>
                </c:pt>
                <c:pt idx="60">
                  <c:v>1.51</c:v>
                </c:pt>
                <c:pt idx="61">
                  <c:v>1.52</c:v>
                </c:pt>
                <c:pt idx="62">
                  <c:v>1.23</c:v>
                </c:pt>
                <c:pt idx="63">
                  <c:v>1.06</c:v>
                </c:pt>
                <c:pt idx="64">
                  <c:v>0.56999999999999995</c:v>
                </c:pt>
                <c:pt idx="65">
                  <c:v>0.52</c:v>
                </c:pt>
                <c:pt idx="66">
                  <c:v>0.52</c:v>
                </c:pt>
                <c:pt idx="67">
                  <c:v>0.57999999999999996</c:v>
                </c:pt>
                <c:pt idx="68">
                  <c:v>0.57999999999999996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A88-4BB6-9DDB-8D12485AEDAF}"/>
            </c:ext>
          </c:extLst>
        </c:ser>
        <c:ser>
          <c:idx val="2"/>
          <c:order val="4"/>
          <c:tx>
            <c:strRef>
              <c:f>'Měnové podmínky 1'!$E$5</c:f>
              <c:strCache>
                <c:ptCount val="1"/>
                <c:pt idx="0">
                  <c:v>PRIBOR (1Y)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'Měnové podmínky 1'!$A$42:$B$110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'Měnové podmínky 1'!$E$42:$E$110</c:f>
              <c:numCache>
                <c:formatCode>General</c:formatCode>
                <c:ptCount val="69"/>
                <c:pt idx="0">
                  <c:v>0.51</c:v>
                </c:pt>
                <c:pt idx="1">
                  <c:v>0.51</c:v>
                </c:pt>
                <c:pt idx="2">
                  <c:v>0.49</c:v>
                </c:pt>
                <c:pt idx="3">
                  <c:v>0.48</c:v>
                </c:pt>
                <c:pt idx="4">
                  <c:v>0.48</c:v>
                </c:pt>
                <c:pt idx="5">
                  <c:v>0.48</c:v>
                </c:pt>
                <c:pt idx="6">
                  <c:v>0.48</c:v>
                </c:pt>
                <c:pt idx="7">
                  <c:v>0.48</c:v>
                </c:pt>
                <c:pt idx="8">
                  <c:v>0.47</c:v>
                </c:pt>
                <c:pt idx="9">
                  <c:v>0.46</c:v>
                </c:pt>
                <c:pt idx="10">
                  <c:v>0.46</c:v>
                </c:pt>
                <c:pt idx="11">
                  <c:v>0.46</c:v>
                </c:pt>
                <c:pt idx="12">
                  <c:v>0.45</c:v>
                </c:pt>
                <c:pt idx="13">
                  <c:v>0.45</c:v>
                </c:pt>
                <c:pt idx="14">
                  <c:v>0.45</c:v>
                </c:pt>
                <c:pt idx="15">
                  <c:v>0.45</c:v>
                </c:pt>
                <c:pt idx="16">
                  <c:v>0.45</c:v>
                </c:pt>
                <c:pt idx="17">
                  <c:v>0.45</c:v>
                </c:pt>
                <c:pt idx="18">
                  <c:v>0.45</c:v>
                </c:pt>
                <c:pt idx="19">
                  <c:v>0.45</c:v>
                </c:pt>
                <c:pt idx="20">
                  <c:v>0.45</c:v>
                </c:pt>
                <c:pt idx="21">
                  <c:v>0.45</c:v>
                </c:pt>
                <c:pt idx="22">
                  <c:v>0.45</c:v>
                </c:pt>
                <c:pt idx="23">
                  <c:v>0.45</c:v>
                </c:pt>
                <c:pt idx="24">
                  <c:v>0.44</c:v>
                </c:pt>
                <c:pt idx="25">
                  <c:v>0.44</c:v>
                </c:pt>
                <c:pt idx="26">
                  <c:v>0.44</c:v>
                </c:pt>
                <c:pt idx="27">
                  <c:v>0.45</c:v>
                </c:pt>
                <c:pt idx="28">
                  <c:v>0.46</c:v>
                </c:pt>
                <c:pt idx="29">
                  <c:v>0.46</c:v>
                </c:pt>
                <c:pt idx="30">
                  <c:v>0.47</c:v>
                </c:pt>
                <c:pt idx="31">
                  <c:v>0.6</c:v>
                </c:pt>
                <c:pt idx="32">
                  <c:v>0.64</c:v>
                </c:pt>
                <c:pt idx="33">
                  <c:v>0.69</c:v>
                </c:pt>
                <c:pt idx="34">
                  <c:v>0.91</c:v>
                </c:pt>
                <c:pt idx="35">
                  <c:v>0.96</c:v>
                </c:pt>
                <c:pt idx="36">
                  <c:v>0.98</c:v>
                </c:pt>
                <c:pt idx="37">
                  <c:v>1.1100000000000001</c:v>
                </c:pt>
                <c:pt idx="38">
                  <c:v>1.1200000000000001</c:v>
                </c:pt>
                <c:pt idx="39">
                  <c:v>1.1200000000000001</c:v>
                </c:pt>
                <c:pt idx="40">
                  <c:v>1.1200000000000001</c:v>
                </c:pt>
                <c:pt idx="41">
                  <c:v>1.1499999999999999</c:v>
                </c:pt>
                <c:pt idx="42">
                  <c:v>1.39</c:v>
                </c:pt>
                <c:pt idx="43">
                  <c:v>1.67</c:v>
                </c:pt>
                <c:pt idx="44">
                  <c:v>1.79</c:v>
                </c:pt>
                <c:pt idx="45">
                  <c:v>1.95</c:v>
                </c:pt>
                <c:pt idx="46">
                  <c:v>2.1800000000000002</c:v>
                </c:pt>
                <c:pt idx="47">
                  <c:v>2.21</c:v>
                </c:pt>
                <c:pt idx="48">
                  <c:v>2.21</c:v>
                </c:pt>
                <c:pt idx="49">
                  <c:v>2.2000000000000002</c:v>
                </c:pt>
                <c:pt idx="50">
                  <c:v>2.2000000000000002</c:v>
                </c:pt>
                <c:pt idx="51">
                  <c:v>2.21</c:v>
                </c:pt>
                <c:pt idx="52">
                  <c:v>2.3199999999999998</c:v>
                </c:pt>
                <c:pt idx="53">
                  <c:v>2.29</c:v>
                </c:pt>
                <c:pt idx="54">
                  <c:v>2.2799999999999998</c:v>
                </c:pt>
                <c:pt idx="55">
                  <c:v>2.2200000000000002</c:v>
                </c:pt>
                <c:pt idx="56">
                  <c:v>2.2000000000000002</c:v>
                </c:pt>
                <c:pt idx="57">
                  <c:v>2.2799999999999998</c:v>
                </c:pt>
                <c:pt idx="58">
                  <c:v>2.2799999999999998</c:v>
                </c:pt>
                <c:pt idx="59">
                  <c:v>2.27</c:v>
                </c:pt>
                <c:pt idx="60">
                  <c:v>2.27</c:v>
                </c:pt>
                <c:pt idx="61">
                  <c:v>2.42</c:v>
                </c:pt>
                <c:pt idx="62">
                  <c:v>2.0099999999999998</c:v>
                </c:pt>
                <c:pt idx="63">
                  <c:v>0.92</c:v>
                </c:pt>
                <c:pt idx="64">
                  <c:v>0.51</c:v>
                </c:pt>
                <c:pt idx="65">
                  <c:v>0.43</c:v>
                </c:pt>
                <c:pt idx="66">
                  <c:v>0.43</c:v>
                </c:pt>
                <c:pt idx="67">
                  <c:v>0.43</c:v>
                </c:pt>
                <c:pt idx="68">
                  <c:v>0.44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A88-4BB6-9DDB-8D12485AEDAF}"/>
            </c:ext>
          </c:extLst>
        </c:ser>
        <c:ser>
          <c:idx val="5"/>
          <c:order val="5"/>
          <c:tx>
            <c:strRef>
              <c:f>'Měnové podmínky 1'!$H$5</c:f>
              <c:strCache>
                <c:ptCount val="1"/>
                <c:pt idx="0">
                  <c:v>Průměrný výnos státních dluhopisů (10Y)</c:v>
                </c:pt>
              </c:strCache>
            </c:strRef>
          </c:tx>
          <c:spPr>
            <a:ln w="19050">
              <a:solidFill>
                <a:srgbClr val="48AEE7"/>
              </a:solidFill>
            </a:ln>
          </c:spPr>
          <c:marker>
            <c:symbol val="none"/>
          </c:marker>
          <c:cat>
            <c:multiLvlStrRef>
              <c:f>'Měnové podmínky 1'!$A$42:$B$110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'Měnové podmínky 1'!$H$42:$H$110</c:f>
              <c:numCache>
                <c:formatCode>General</c:formatCode>
                <c:ptCount val="69"/>
                <c:pt idx="0">
                  <c:v>0.35</c:v>
                </c:pt>
                <c:pt idx="1">
                  <c:v>0.4</c:v>
                </c:pt>
                <c:pt idx="2">
                  <c:v>0.35</c:v>
                </c:pt>
                <c:pt idx="3">
                  <c:v>0.26</c:v>
                </c:pt>
                <c:pt idx="4">
                  <c:v>0.6</c:v>
                </c:pt>
                <c:pt idx="5">
                  <c:v>1.01</c:v>
                </c:pt>
                <c:pt idx="6">
                  <c:v>0.97</c:v>
                </c:pt>
                <c:pt idx="7">
                  <c:v>0.74</c:v>
                </c:pt>
                <c:pt idx="8">
                  <c:v>0.68</c:v>
                </c:pt>
                <c:pt idx="9">
                  <c:v>0.56000000000000005</c:v>
                </c:pt>
                <c:pt idx="10">
                  <c:v>0.49</c:v>
                </c:pt>
                <c:pt idx="11">
                  <c:v>0.49</c:v>
                </c:pt>
                <c:pt idx="12">
                  <c:v>0.62</c:v>
                </c:pt>
                <c:pt idx="13">
                  <c:v>0.46</c:v>
                </c:pt>
                <c:pt idx="14">
                  <c:v>0.35</c:v>
                </c:pt>
                <c:pt idx="15">
                  <c:v>0.43</c:v>
                </c:pt>
                <c:pt idx="16">
                  <c:v>0.46</c:v>
                </c:pt>
                <c:pt idx="17">
                  <c:v>0.45</c:v>
                </c:pt>
                <c:pt idx="18">
                  <c:v>0.37</c:v>
                </c:pt>
                <c:pt idx="19">
                  <c:v>0.28999999999999998</c:v>
                </c:pt>
                <c:pt idx="20">
                  <c:v>0.25</c:v>
                </c:pt>
                <c:pt idx="21">
                  <c:v>0.37</c:v>
                </c:pt>
                <c:pt idx="22">
                  <c:v>0.55000000000000004</c:v>
                </c:pt>
                <c:pt idx="23">
                  <c:v>0.53</c:v>
                </c:pt>
                <c:pt idx="24">
                  <c:v>0.47</c:v>
                </c:pt>
                <c:pt idx="25">
                  <c:v>0.63</c:v>
                </c:pt>
                <c:pt idx="26">
                  <c:v>0.87</c:v>
                </c:pt>
                <c:pt idx="27">
                  <c:v>0.96</c:v>
                </c:pt>
                <c:pt idx="28">
                  <c:v>0.74</c:v>
                </c:pt>
                <c:pt idx="29">
                  <c:v>0.77</c:v>
                </c:pt>
                <c:pt idx="30">
                  <c:v>0.9</c:v>
                </c:pt>
                <c:pt idx="31">
                  <c:v>0.83</c:v>
                </c:pt>
                <c:pt idx="32">
                  <c:v>0.97</c:v>
                </c:pt>
                <c:pt idx="33">
                  <c:v>1.45</c:v>
                </c:pt>
                <c:pt idx="34">
                  <c:v>1.68</c:v>
                </c:pt>
                <c:pt idx="35">
                  <c:v>1.5</c:v>
                </c:pt>
                <c:pt idx="36">
                  <c:v>1.77</c:v>
                </c:pt>
                <c:pt idx="37">
                  <c:v>1.82</c:v>
                </c:pt>
                <c:pt idx="38">
                  <c:v>1.81</c:v>
                </c:pt>
                <c:pt idx="39">
                  <c:v>1.74</c:v>
                </c:pt>
                <c:pt idx="40">
                  <c:v>1.89</c:v>
                </c:pt>
                <c:pt idx="41">
                  <c:v>2.14</c:v>
                </c:pt>
                <c:pt idx="42">
                  <c:v>2.11</c:v>
                </c:pt>
                <c:pt idx="43">
                  <c:v>2.14</c:v>
                </c:pt>
                <c:pt idx="44">
                  <c:v>2.14</c:v>
                </c:pt>
                <c:pt idx="45">
                  <c:v>2.14</c:v>
                </c:pt>
                <c:pt idx="46">
                  <c:v>2.0699999999999998</c:v>
                </c:pt>
                <c:pt idx="47">
                  <c:v>2.0099999999999998</c:v>
                </c:pt>
                <c:pt idx="48">
                  <c:v>1.85</c:v>
                </c:pt>
                <c:pt idx="49">
                  <c:v>1.76</c:v>
                </c:pt>
                <c:pt idx="50">
                  <c:v>1.82</c:v>
                </c:pt>
                <c:pt idx="51">
                  <c:v>1.82</c:v>
                </c:pt>
                <c:pt idx="52">
                  <c:v>1.86</c:v>
                </c:pt>
                <c:pt idx="53">
                  <c:v>1.58</c:v>
                </c:pt>
                <c:pt idx="54">
                  <c:v>1.36</c:v>
                </c:pt>
                <c:pt idx="55">
                  <c:v>0.99</c:v>
                </c:pt>
                <c:pt idx="56">
                  <c:v>1.24</c:v>
                </c:pt>
                <c:pt idx="57">
                  <c:v>1.32</c:v>
                </c:pt>
                <c:pt idx="58">
                  <c:v>1.47</c:v>
                </c:pt>
                <c:pt idx="59">
                  <c:v>1.51</c:v>
                </c:pt>
                <c:pt idx="60">
                  <c:v>1.62</c:v>
                </c:pt>
                <c:pt idx="61">
                  <c:v>1.47</c:v>
                </c:pt>
                <c:pt idx="62">
                  <c:v>1.28</c:v>
                </c:pt>
                <c:pt idx="63">
                  <c:v>1.28</c:v>
                </c:pt>
                <c:pt idx="64">
                  <c:v>0.92</c:v>
                </c:pt>
                <c:pt idx="65">
                  <c:v>0.86</c:v>
                </c:pt>
                <c:pt idx="66">
                  <c:v>0.86</c:v>
                </c:pt>
                <c:pt idx="67">
                  <c:v>0.95</c:v>
                </c:pt>
                <c:pt idx="68">
                  <c:v>0.98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A88-4BB6-9DDB-8D12485AED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1742464"/>
        <c:axId val="271744000"/>
      </c:lineChart>
      <c:catAx>
        <c:axId val="271742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271744000"/>
        <c:crosses val="autoZero"/>
        <c:auto val="1"/>
        <c:lblAlgn val="ctr"/>
        <c:lblOffset val="100"/>
        <c:noMultiLvlLbl val="0"/>
      </c:catAx>
      <c:valAx>
        <c:axId val="271744000"/>
        <c:scaling>
          <c:orientation val="minMax"/>
          <c:min val="-1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71742464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501055386693677E-2"/>
          <c:y val="0.87558269120103249"/>
          <c:w val="0.93350515028706516"/>
          <c:h val="0.11015705924459968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FEEC-555B-468C-9496-7B0F163A8B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4627F8-3586-452C-A4C4-A11705E0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</Template>
  <TotalTime>2</TotalTime>
  <Pages>2</Pages>
  <Words>863</Words>
  <Characters>5092</Characters>
  <Application>Microsoft Office Word</Application>
  <DocSecurity>0</DocSecurity>
  <Lines>42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5944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Karolína Zábojníková</cp:lastModifiedBy>
  <cp:revision>4</cp:revision>
  <cp:lastPrinted>2019-04-08T10:52:00Z</cp:lastPrinted>
  <dcterms:created xsi:type="dcterms:W3CDTF">2020-12-16T06:31:00Z</dcterms:created>
  <dcterms:modified xsi:type="dcterms:W3CDTF">2020-12-16T07:59:00Z</dcterms:modified>
</cp:coreProperties>
</file>