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5124E9" w:rsidP="0097104F">
      <w:pPr>
        <w:pStyle w:val="Nadpis1"/>
        <w:rPr>
          <w:spacing w:val="-2"/>
        </w:rPr>
      </w:pPr>
      <w:bookmarkStart w:id="0" w:name="_GoBack"/>
      <w:bookmarkEnd w:id="0"/>
      <w:r w:rsidRPr="005124E9">
        <w:rPr>
          <w:rFonts w:cs="Arial"/>
        </w:rPr>
        <w:t>Vysoký meziroční růst cen potravin opět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5124E9">
        <w:t>listopad</w:t>
      </w:r>
      <w:r w:rsidR="00250429">
        <w:t> 20</w:t>
      </w:r>
      <w:r w:rsidR="00D563FA">
        <w:t>2</w:t>
      </w:r>
      <w:r w:rsidR="009C73E7">
        <w:t>2</w:t>
      </w:r>
    </w:p>
    <w:p w:rsidR="0078029C" w:rsidRDefault="005124E9" w:rsidP="009C73E7">
      <w:pPr>
        <w:pStyle w:val="Perex"/>
      </w:pPr>
      <w:r w:rsidRPr="001A6012">
        <w:t>Spotřebitelské ceny meziměsíčně vzrostly o 1,2 %. Tento vývoj byl ovlivněn zejména vyššími cenami v oddíle bydlení a</w:t>
      </w:r>
      <w:r>
        <w:t> v oddíle potraviny a </w:t>
      </w:r>
      <w:r w:rsidRPr="001A6012">
        <w:t xml:space="preserve">nealkoholické nápoje. </w:t>
      </w:r>
      <w:r w:rsidRPr="001A6012">
        <w:rPr>
          <w:spacing w:val="-4"/>
        </w:rPr>
        <w:t>Meziročně vzrostly spotřebitelské ceny v listopadu o 16,2 %, což bylo o 1,1</w:t>
      </w:r>
      <w:r w:rsidRPr="001A6012">
        <w:t> procentního bodu více</w:t>
      </w:r>
      <w:r>
        <w:t xml:space="preserve"> než </w:t>
      </w:r>
      <w:r w:rsidRPr="001A6012">
        <w:t>v říjnu.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5124E9" w:rsidRPr="001A6012" w:rsidRDefault="005124E9" w:rsidP="005124E9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1A6012">
        <w:rPr>
          <w:rFonts w:cs="Arial"/>
          <w:szCs w:val="20"/>
        </w:rPr>
        <w:t>Meziměsíčně vzrostly spotřebitelské ceny v listopadu o 1,2 %. V oddíle bydlení se zvýšily především ceny zemního plynu o 14,1 %, elektřiny o 3,9 %, tepla a</w:t>
      </w:r>
      <w:r>
        <w:rPr>
          <w:rFonts w:cs="Arial"/>
          <w:szCs w:val="20"/>
        </w:rPr>
        <w:t> teplé vody o 5,5 % a </w:t>
      </w:r>
      <w:r w:rsidRPr="001A6012">
        <w:rPr>
          <w:rFonts w:cs="Arial"/>
          <w:szCs w:val="20"/>
        </w:rPr>
        <w:t>tuhých paliv o 4,4 %</w:t>
      </w:r>
      <w:r w:rsidRPr="001A6012">
        <w:rPr>
          <w:rFonts w:eastAsia="Calibri" w:cs="Arial"/>
          <w:szCs w:val="20"/>
        </w:rPr>
        <w:t xml:space="preserve"> (více informací k indexu cen elektřiny: </w:t>
      </w:r>
      <w:hyperlink r:id="rId8" w:history="1">
        <w:r w:rsidRPr="001A6012">
          <w:rPr>
            <w:rStyle w:val="Hypertextovodkaz"/>
            <w:rFonts w:eastAsia="Calibri" w:cs="Arial"/>
            <w:szCs w:val="20"/>
          </w:rPr>
          <w:t>Poznámka</w:t>
        </w:r>
      </w:hyperlink>
      <w:r w:rsidRPr="001A6012">
        <w:rPr>
          <w:rFonts w:eastAsia="Calibri" w:cs="Arial"/>
          <w:szCs w:val="20"/>
        </w:rPr>
        <w:t xml:space="preserve">). V oddíle potraviny a nealkoholické nápoje byly </w:t>
      </w:r>
      <w:r w:rsidRPr="000A362A">
        <w:rPr>
          <w:rFonts w:eastAsia="Calibri" w:cs="Arial"/>
          <w:szCs w:val="20"/>
        </w:rPr>
        <w:t>vyšší zejména</w:t>
      </w:r>
      <w:r>
        <w:rPr>
          <w:rFonts w:eastAsia="Calibri" w:cs="Arial"/>
          <w:szCs w:val="20"/>
        </w:rPr>
        <w:t xml:space="preserve"> </w:t>
      </w:r>
      <w:r w:rsidRPr="001A6012">
        <w:rPr>
          <w:rFonts w:eastAsia="Calibri" w:cs="Arial"/>
          <w:szCs w:val="20"/>
        </w:rPr>
        <w:t>ceny ovoce o 4,9 %, vajec o 11,2 %, chleba o 3,1 %, brambor o 14,5 %, uzenin o 2,3 %, sýrů a tvarohů o 2,6 % a polotučného trvanlivého mléka o 6,2 %. V oddíle odívání a obuv byly vyšší ceny oděvů o 1,6 %. V</w:t>
      </w:r>
      <w:r>
        <w:rPr>
          <w:rFonts w:eastAsia="Calibri" w:cs="Arial"/>
          <w:szCs w:val="20"/>
        </w:rPr>
        <w:t> oddíle stravování a </w:t>
      </w:r>
      <w:r w:rsidRPr="001A6012">
        <w:rPr>
          <w:rFonts w:eastAsia="Calibri" w:cs="Arial"/>
          <w:szCs w:val="20"/>
        </w:rPr>
        <w:t>ubytování vzrostly zejména ceny stravovacích služeb o 1,0 %. Na snižování celkové cenové hladiny působily v listopadu především ceny v oddíle doprava, kde klesly</w:t>
      </w:r>
      <w:r>
        <w:rPr>
          <w:rFonts w:eastAsia="Calibri" w:cs="Arial"/>
          <w:szCs w:val="20"/>
        </w:rPr>
        <w:t xml:space="preserve"> ceny pohonných hmot a </w:t>
      </w:r>
      <w:r w:rsidRPr="001A6012">
        <w:rPr>
          <w:rFonts w:eastAsia="Calibri" w:cs="Arial"/>
          <w:szCs w:val="20"/>
        </w:rPr>
        <w:t>olejů o 1,7 % a automobilů o 0,6 %. Z potravin byly meziměsíčně nižší zejména ceny zeleniny o 2,9 %</w:t>
      </w:r>
      <w:r>
        <w:rPr>
          <w:rFonts w:eastAsia="Calibri" w:cs="Arial"/>
          <w:szCs w:val="20"/>
        </w:rPr>
        <w:t xml:space="preserve"> a </w:t>
      </w:r>
      <w:r w:rsidRPr="001A6012">
        <w:rPr>
          <w:rFonts w:eastAsia="Calibri" w:cs="Arial"/>
          <w:szCs w:val="20"/>
        </w:rPr>
        <w:t>ceny olejů a tuků o 1,8 %.</w:t>
      </w:r>
    </w:p>
    <w:p w:rsidR="005124E9" w:rsidRPr="001A6012" w:rsidRDefault="005124E9" w:rsidP="005124E9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1A6012">
        <w:rPr>
          <w:rFonts w:cs="Arial"/>
          <w:szCs w:val="20"/>
        </w:rPr>
        <w:t>Ceny zboží úhrnem vzrostly o 1,8 % a</w:t>
      </w:r>
      <w:r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>ceny služeb o 0,3 %.</w:t>
      </w:r>
    </w:p>
    <w:p w:rsidR="00BF4542" w:rsidRPr="00A3469B" w:rsidRDefault="005124E9" w:rsidP="005124E9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1A6012">
        <w:rPr>
          <w:rFonts w:eastAsia="Times New Roman" w:cs="Arial"/>
          <w:i/>
          <w:szCs w:val="20"/>
          <w:lang w:eastAsia="cs-CZ"/>
        </w:rPr>
        <w:t>„</w:t>
      </w:r>
      <w:r w:rsidRPr="001A6012">
        <w:rPr>
          <w:i/>
        </w:rPr>
        <w:t>Spotřebitelské ceny vzrostly v listopadu oproti říjnu o 1,2 % a meziročně o 16,2 %. Celková cenová hladina tedy po měsíční pauze opět zrychlila svůj r</w:t>
      </w:r>
      <w:r>
        <w:rPr>
          <w:i/>
        </w:rPr>
        <w:t>ůst. Částečně k tomu přispěla i </w:t>
      </w:r>
      <w:r w:rsidRPr="001A6012">
        <w:rPr>
          <w:i/>
        </w:rPr>
        <w:t>loňská nižší srovnávací základna, kdy došlo k</w:t>
      </w:r>
      <w:r>
        <w:rPr>
          <w:i/>
        </w:rPr>
        <w:t> odpuštění DPH u cen elektřiny a </w:t>
      </w:r>
      <w:r w:rsidRPr="001A6012">
        <w:rPr>
          <w:i/>
        </w:rPr>
        <w:t xml:space="preserve">zemního plynu,“ </w:t>
      </w:r>
      <w:r w:rsidRPr="001A6012">
        <w:rPr>
          <w:rFonts w:eastAsia="Times New Roman" w:cs="Arial"/>
          <w:szCs w:val="20"/>
          <w:lang w:eastAsia="cs-CZ"/>
        </w:rPr>
        <w:t>uvádí Pavla Šedivá, vedoucí oddělení statistiky spotřebitelských cen ČSÚ.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5124E9" w:rsidRDefault="005124E9" w:rsidP="005124E9">
      <w:pPr>
        <w:jc w:val="both"/>
      </w:pPr>
      <w:r w:rsidRPr="001A6012">
        <w:t xml:space="preserve">Meziročně vzrostly spotřebitelské ceny v listopadu o 16,2 %, což bylo o 1,1 procentního bodu více než v říjnu. Toto </w:t>
      </w:r>
      <w:r w:rsidRPr="001A6012">
        <w:rPr>
          <w:b/>
        </w:rPr>
        <w:t>zrychlení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1A6012">
        <w:rPr>
          <w:rFonts w:cs="Arial"/>
          <w:szCs w:val="20"/>
        </w:rPr>
        <w:t>bylo ovlivněno zejména cenami v oddíle bydlení, kde se částečně projevila loňská nulová DPH u</w:t>
      </w:r>
      <w:r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 xml:space="preserve">cen elektřiny </w:t>
      </w:r>
      <w:r>
        <w:rPr>
          <w:rFonts w:cs="Arial"/>
          <w:szCs w:val="20"/>
        </w:rPr>
        <w:t>a </w:t>
      </w:r>
      <w:r w:rsidRPr="001A6012">
        <w:rPr>
          <w:rFonts w:cs="Arial"/>
          <w:szCs w:val="20"/>
        </w:rPr>
        <w:t xml:space="preserve">zemního plynu. Ceny </w:t>
      </w:r>
      <w:r w:rsidRPr="000A362A">
        <w:rPr>
          <w:rFonts w:cs="Arial"/>
          <w:szCs w:val="20"/>
        </w:rPr>
        <w:t>elektřiny byly vlivem vládních úsporných opatření v listopadu nižší o</w:t>
      </w:r>
      <w:r w:rsidRPr="001A6012">
        <w:rPr>
          <w:rFonts w:cs="Arial"/>
          <w:szCs w:val="20"/>
        </w:rPr>
        <w:t> 23,4 % (v říjnu pokles o 38,2 %)</w:t>
      </w:r>
      <w:r>
        <w:rPr>
          <w:rFonts w:cs="Arial"/>
          <w:szCs w:val="20"/>
        </w:rPr>
        <w:t xml:space="preserve"> a </w:t>
      </w:r>
      <w:r w:rsidRPr="001A6012">
        <w:rPr>
          <w:rFonts w:cs="Arial"/>
          <w:szCs w:val="20"/>
        </w:rPr>
        <w:t>ceny zemní</w:t>
      </w:r>
      <w:r>
        <w:rPr>
          <w:rFonts w:cs="Arial"/>
          <w:szCs w:val="20"/>
        </w:rPr>
        <w:t>ho plynu zrychlily svůj růst na </w:t>
      </w:r>
      <w:r w:rsidRPr="001A6012">
        <w:rPr>
          <w:rFonts w:cs="Arial"/>
          <w:szCs w:val="20"/>
        </w:rPr>
        <w:t>139,0</w:t>
      </w:r>
      <w:r>
        <w:rPr>
          <w:rFonts w:cs="Arial"/>
          <w:szCs w:val="20"/>
        </w:rPr>
        <w:t> % (v </w:t>
      </w:r>
      <w:r w:rsidRPr="001A6012">
        <w:rPr>
          <w:rFonts w:cs="Arial"/>
          <w:szCs w:val="20"/>
        </w:rPr>
        <w:t>říjnu růst o 85,3 %). Naopak v oddíle doprava zmírnil</w:t>
      </w:r>
      <w:r>
        <w:rPr>
          <w:rFonts w:cs="Arial"/>
          <w:szCs w:val="20"/>
        </w:rPr>
        <w:t xml:space="preserve"> růst cen automobilů na 12,7 % (v říjnu 14,4 %) a cen pohonných hmot a olejů na 14,5 % (v říjnu 21,7 %).</w:t>
      </w:r>
    </w:p>
    <w:p w:rsidR="005124E9" w:rsidRDefault="005124E9" w:rsidP="005124E9">
      <w:pPr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listopadu největší vliv ceny v oddíle potraviny a nealkoholické nápoje a ceny v oddíle bydlení</w:t>
      </w:r>
      <w:r w:rsidRPr="000A362A">
        <w:rPr>
          <w:rFonts w:cs="Arial"/>
          <w:szCs w:val="20"/>
        </w:rPr>
        <w:t>. Cen</w:t>
      </w:r>
      <w:r>
        <w:rPr>
          <w:rFonts w:cs="Arial"/>
          <w:szCs w:val="20"/>
        </w:rPr>
        <w:t>y potravin meziročně vzrostly o 27,1 </w:t>
      </w:r>
      <w:r w:rsidRPr="000A362A">
        <w:rPr>
          <w:rFonts w:cs="Arial"/>
          <w:szCs w:val="20"/>
        </w:rPr>
        <w:t>% (v</w:t>
      </w:r>
      <w:r>
        <w:rPr>
          <w:rFonts w:cs="Arial"/>
          <w:szCs w:val="20"/>
        </w:rPr>
        <w:t> </w:t>
      </w:r>
      <w:r w:rsidRPr="000A362A">
        <w:rPr>
          <w:rFonts w:cs="Arial"/>
          <w:szCs w:val="20"/>
        </w:rPr>
        <w:t>říjnu o</w:t>
      </w:r>
      <w:r>
        <w:rPr>
          <w:rFonts w:cs="Arial"/>
          <w:szCs w:val="20"/>
        </w:rPr>
        <w:t> 26,2 </w:t>
      </w:r>
      <w:r w:rsidRPr="000A362A">
        <w:rPr>
          <w:rFonts w:cs="Arial"/>
          <w:szCs w:val="20"/>
        </w:rPr>
        <w:t>%). Vyšší byly zejména</w:t>
      </w:r>
      <w:r w:rsidRPr="00A235D6">
        <w:rPr>
          <w:rFonts w:cs="Arial"/>
          <w:szCs w:val="20"/>
        </w:rPr>
        <w:t xml:space="preserve"> ceny mouky </w:t>
      </w:r>
      <w:r>
        <w:rPr>
          <w:rFonts w:cs="Arial"/>
          <w:szCs w:val="20"/>
        </w:rPr>
        <w:t>o 48,3 %, polotučného trvanlivého mléka o 52,5 %, vajec o 71,9 %, olejů a tuků o 40,8 %, brambor o 42,4 % a cukru o 109,3 %. V </w:t>
      </w:r>
      <w:r w:rsidRPr="00B3645D">
        <w:rPr>
          <w:rFonts w:cs="Arial"/>
          <w:szCs w:val="20"/>
        </w:rPr>
        <w:t>oddíle bydlení kromě nákladů vlastnického bydlení vzrostly ceny nájemného z bytu o </w:t>
      </w:r>
      <w:r>
        <w:rPr>
          <w:rFonts w:cs="Arial"/>
          <w:szCs w:val="20"/>
        </w:rPr>
        <w:t>5,8</w:t>
      </w:r>
      <w:r w:rsidRPr="00B3645D">
        <w:rPr>
          <w:rFonts w:cs="Arial"/>
          <w:szCs w:val="20"/>
        </w:rPr>
        <w:t xml:space="preserve"> %, vodného o 5,3 %, stočného o 6,4 %, </w:t>
      </w:r>
      <w:r>
        <w:rPr>
          <w:rFonts w:cs="Arial"/>
          <w:szCs w:val="20"/>
        </w:rPr>
        <w:t>tuhých paliv o 68,8 % a </w:t>
      </w:r>
      <w:r w:rsidRPr="00B3645D">
        <w:rPr>
          <w:rFonts w:cs="Arial"/>
          <w:szCs w:val="20"/>
        </w:rPr>
        <w:t>tepla a teplé vody o </w:t>
      </w:r>
      <w:r>
        <w:rPr>
          <w:rFonts w:cs="Arial"/>
          <w:szCs w:val="20"/>
        </w:rPr>
        <w:t>30,2</w:t>
      </w:r>
      <w:r w:rsidRPr="00B3645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Další v pořadí vlivu (i přes jeho oslabení) byly ceny v</w:t>
      </w:r>
      <w:r w:rsidRPr="00B3645D">
        <w:rPr>
          <w:rFonts w:cs="Arial"/>
          <w:szCs w:val="20"/>
        </w:rPr>
        <w:t> oddíle doprava</w:t>
      </w:r>
      <w:r>
        <w:rPr>
          <w:rFonts w:cs="Arial"/>
          <w:szCs w:val="20"/>
        </w:rPr>
        <w:t xml:space="preserve"> (nárůst o 13,6 %)</w:t>
      </w:r>
      <w:r w:rsidRPr="00B3645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 oddíle stravování a ubytování vzrostly ceny stravovacích služeb o 26,0 %.</w:t>
      </w:r>
    </w:p>
    <w:p w:rsidR="005124E9" w:rsidRPr="00B3645D" w:rsidRDefault="005124E9" w:rsidP="005124E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B3645D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>se zvýšily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11,9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říjnu</w:t>
      </w:r>
      <w:r w:rsidRPr="00B3645D">
        <w:rPr>
          <w:rFonts w:cs="Arial"/>
          <w:szCs w:val="20"/>
        </w:rPr>
        <w:t xml:space="preserve"> </w:t>
      </w:r>
      <w:r w:rsidRPr="00C62F3F">
        <w:rPr>
          <w:rFonts w:cs="Arial"/>
          <w:szCs w:val="20"/>
        </w:rPr>
        <w:t>o 14</w:t>
      </w:r>
      <w:r>
        <w:rPr>
          <w:rFonts w:cs="Arial"/>
          <w:szCs w:val="20"/>
        </w:rPr>
        <w:t>,0</w:t>
      </w:r>
      <w:r w:rsidRPr="00B3645D">
        <w:rPr>
          <w:rFonts w:cs="Arial"/>
          <w:szCs w:val="20"/>
        </w:rPr>
        <w:t xml:space="preserve"> %) </w:t>
      </w:r>
      <w:r w:rsidRPr="000F6E27">
        <w:rPr>
          <w:rFonts w:cs="Arial"/>
          <w:szCs w:val="20"/>
        </w:rPr>
        <w:t xml:space="preserve">zejména v důsledku růstu cen stavebních </w:t>
      </w:r>
      <w:r w:rsidRPr="00A6102F">
        <w:rPr>
          <w:rFonts w:cs="Arial"/>
          <w:szCs w:val="20"/>
        </w:rPr>
        <w:t xml:space="preserve">materiálů a dále </w:t>
      </w:r>
      <w:r>
        <w:rPr>
          <w:rFonts w:cs="Arial"/>
          <w:szCs w:val="20"/>
        </w:rPr>
        <w:t>cen stavebních prací a </w:t>
      </w:r>
      <w:r w:rsidRPr="00A6102F">
        <w:rPr>
          <w:rFonts w:cs="Arial"/>
          <w:szCs w:val="20"/>
        </w:rPr>
        <w:t>cen nových bytů pro vlastní bydlení. Úhrnný index spotř</w:t>
      </w:r>
      <w:r w:rsidRPr="00B3645D">
        <w:rPr>
          <w:rFonts w:cs="Arial"/>
          <w:szCs w:val="20"/>
        </w:rPr>
        <w:t xml:space="preserve">ebitelských cen bez započtení nákladů vlastnického bydlení byl </w:t>
      </w:r>
      <w:r w:rsidRPr="00FC25E9">
        <w:rPr>
          <w:rFonts w:cs="Arial"/>
          <w:szCs w:val="20"/>
        </w:rPr>
        <w:t>116,8</w:t>
      </w:r>
      <w:r w:rsidRPr="00B3645D">
        <w:rPr>
          <w:rFonts w:cs="Arial"/>
          <w:szCs w:val="20"/>
        </w:rPr>
        <w:t xml:space="preserve"> %. (Více informací: </w:t>
      </w:r>
      <w:hyperlink r:id="rId9" w:history="1">
        <w:r w:rsidRPr="00B3645D">
          <w:rPr>
            <w:rStyle w:val="Hypertextovodkaz"/>
            <w:rFonts w:cs="Arial"/>
            <w:szCs w:val="20"/>
          </w:rPr>
          <w:t>Metodická poznámka</w:t>
        </w:r>
      </w:hyperlink>
      <w:r w:rsidRPr="00B3645D">
        <w:rPr>
          <w:rFonts w:cs="Arial"/>
          <w:szCs w:val="20"/>
        </w:rPr>
        <w:t>.)</w:t>
      </w:r>
    </w:p>
    <w:p w:rsidR="005124E9" w:rsidRPr="00B3645D" w:rsidRDefault="005124E9" w:rsidP="005124E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18,5</w:t>
      </w:r>
      <w:r w:rsidRPr="00B3645D">
        <w:rPr>
          <w:rFonts w:cs="Arial"/>
          <w:szCs w:val="20"/>
        </w:rPr>
        <w:t> % a ceny služeb o 1</w:t>
      </w:r>
      <w:r>
        <w:rPr>
          <w:rFonts w:cs="Arial"/>
          <w:szCs w:val="20"/>
        </w:rPr>
        <w:t>2,7</w:t>
      </w:r>
      <w:r w:rsidRPr="00B3645D">
        <w:rPr>
          <w:rFonts w:cs="Arial"/>
          <w:szCs w:val="20"/>
        </w:rPr>
        <w:t> %.</w:t>
      </w:r>
    </w:p>
    <w:p w:rsidR="00AC79FA" w:rsidRDefault="005124E9" w:rsidP="005124E9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3645D">
        <w:rPr>
          <w:rFonts w:cs="Arial"/>
          <w:szCs w:val="20"/>
        </w:rPr>
        <w:lastRenderedPageBreak/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listopadu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14,4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říjnu 13,5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F37293" w:rsidRPr="00F37293" w:rsidRDefault="005124E9" w:rsidP="00F3729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B3645D">
        <w:rPr>
          <w:rFonts w:cs="Arial"/>
          <w:sz w:val="20"/>
          <w:szCs w:val="20"/>
        </w:rPr>
        <w:t xml:space="preserve">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listopadu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HICP v </w:t>
      </w:r>
      <w:r w:rsidRPr="004B5EC8">
        <w:rPr>
          <w:rFonts w:cs="Arial"/>
          <w:sz w:val="20"/>
          <w:szCs w:val="20"/>
        </w:rPr>
        <w:t xml:space="preserve">Česku </w:t>
      </w:r>
      <w:r w:rsidRPr="004B5EC8">
        <w:rPr>
          <w:rFonts w:cs="Arial"/>
          <w:b/>
          <w:sz w:val="20"/>
          <w:szCs w:val="20"/>
        </w:rPr>
        <w:t>meziměsíčně</w:t>
      </w:r>
      <w:r w:rsidRPr="004B5EC8">
        <w:rPr>
          <w:rFonts w:cs="Arial"/>
          <w:sz w:val="20"/>
          <w:szCs w:val="20"/>
        </w:rPr>
        <w:t xml:space="preserve"> o 1,3 % a </w:t>
      </w:r>
      <w:r w:rsidRPr="004B5EC8">
        <w:rPr>
          <w:rFonts w:cs="Arial"/>
          <w:b/>
          <w:sz w:val="20"/>
          <w:szCs w:val="20"/>
        </w:rPr>
        <w:t xml:space="preserve">meziročně </w:t>
      </w:r>
      <w:r w:rsidRPr="004B5EC8">
        <w:rPr>
          <w:rFonts w:cs="Arial"/>
          <w:sz w:val="20"/>
          <w:szCs w:val="20"/>
        </w:rPr>
        <w:t>o</w:t>
      </w:r>
      <w:r w:rsidRPr="004B5EC8">
        <w:rPr>
          <w:rFonts w:cs="Arial"/>
          <w:b/>
          <w:sz w:val="20"/>
          <w:szCs w:val="20"/>
        </w:rPr>
        <w:t> </w:t>
      </w:r>
      <w:r w:rsidRPr="004B5EC8">
        <w:rPr>
          <w:rFonts w:cs="Arial"/>
          <w:sz w:val="20"/>
          <w:szCs w:val="20"/>
        </w:rPr>
        <w:t xml:space="preserve">17,2 % (v říjnu o 15,5 %). </w:t>
      </w:r>
      <w:r w:rsidRPr="004B5EC8">
        <w:rPr>
          <w:rFonts w:cs="Arial"/>
          <w:b/>
          <w:sz w:val="20"/>
          <w:szCs w:val="20"/>
        </w:rPr>
        <w:t>Podle bleskových odhadů</w:t>
      </w:r>
      <w:r w:rsidRPr="004B5EC8">
        <w:rPr>
          <w:rFonts w:cs="Arial"/>
          <w:sz w:val="20"/>
          <w:szCs w:val="20"/>
        </w:rPr>
        <w:t xml:space="preserve"> </w:t>
      </w:r>
      <w:proofErr w:type="spellStart"/>
      <w:r w:rsidRPr="004B5EC8">
        <w:rPr>
          <w:rFonts w:cs="Arial"/>
          <w:sz w:val="20"/>
          <w:szCs w:val="20"/>
        </w:rPr>
        <w:t>Eurostatu</w:t>
      </w:r>
      <w:proofErr w:type="spellEnd"/>
      <w:r w:rsidRPr="004B5EC8">
        <w:rPr>
          <w:rFonts w:cs="Arial"/>
          <w:b/>
          <w:sz w:val="20"/>
          <w:szCs w:val="20"/>
        </w:rPr>
        <w:t xml:space="preserve"> </w:t>
      </w:r>
      <w:r w:rsidRPr="00B92E0A">
        <w:rPr>
          <w:rFonts w:cs="Arial"/>
          <w:sz w:val="20"/>
          <w:szCs w:val="20"/>
        </w:rPr>
        <w:t>byla</w:t>
      </w:r>
      <w:r w:rsidRPr="00B92E0A">
        <w:rPr>
          <w:rFonts w:cs="Arial"/>
          <w:b/>
          <w:sz w:val="20"/>
          <w:szCs w:val="20"/>
        </w:rPr>
        <w:t xml:space="preserve"> meziroční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listopadu</w:t>
      </w:r>
      <w:r w:rsidRPr="00B3645D">
        <w:rPr>
          <w:rFonts w:cs="Arial"/>
          <w:b/>
          <w:bCs/>
          <w:sz w:val="20"/>
          <w:szCs w:val="20"/>
        </w:rPr>
        <w:t xml:space="preserve"> 2022 </w:t>
      </w:r>
      <w:r w:rsidRPr="00B3645D">
        <w:rPr>
          <w:rFonts w:cs="Arial"/>
          <w:sz w:val="20"/>
          <w:szCs w:val="20"/>
        </w:rPr>
        <w:t xml:space="preserve">za Eurozónu </w:t>
      </w:r>
      <w:r>
        <w:rPr>
          <w:rFonts w:cs="Arial"/>
          <w:sz w:val="20"/>
          <w:szCs w:val="20"/>
        </w:rPr>
        <w:t>10,0</w:t>
      </w:r>
      <w:r w:rsidRPr="00B3645D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říjnu</w:t>
      </w:r>
      <w:r w:rsidRPr="00B364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10,6</w:t>
      </w:r>
      <w:r w:rsidRPr="00B3645D">
        <w:rPr>
          <w:rFonts w:cs="Arial"/>
          <w:sz w:val="20"/>
          <w:szCs w:val="20"/>
        </w:rPr>
        <w:t xml:space="preserve"> %), na Slovensku </w:t>
      </w:r>
      <w:r>
        <w:rPr>
          <w:rFonts w:cs="Arial"/>
          <w:sz w:val="20"/>
          <w:szCs w:val="20"/>
        </w:rPr>
        <w:t>15,1</w:t>
      </w:r>
      <w:r w:rsidRPr="00B3645D">
        <w:rPr>
          <w:rFonts w:cs="Arial"/>
          <w:sz w:val="20"/>
          <w:szCs w:val="20"/>
        </w:rPr>
        <w:t> % a v Německu</w:t>
      </w:r>
      <w:r w:rsidRPr="00B3645D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11,3</w:t>
      </w:r>
      <w:r w:rsidRPr="00B3645D">
        <w:rPr>
          <w:rFonts w:cs="Arial"/>
          <w:bCs/>
          <w:sz w:val="20"/>
          <w:szCs w:val="20"/>
        </w:rPr>
        <w:t> %. Nejvyšší byla v </w:t>
      </w:r>
      <w:r>
        <w:rPr>
          <w:rFonts w:cs="Arial"/>
          <w:bCs/>
          <w:sz w:val="20"/>
          <w:szCs w:val="20"/>
        </w:rPr>
        <w:t>listopadu</w:t>
      </w:r>
      <w:r w:rsidRPr="00B3645D">
        <w:rPr>
          <w:rFonts w:cs="Arial"/>
          <w:bCs/>
          <w:sz w:val="20"/>
          <w:szCs w:val="20"/>
        </w:rPr>
        <w:t xml:space="preserve"> v </w:t>
      </w:r>
      <w:r>
        <w:rPr>
          <w:rFonts w:cs="Arial"/>
          <w:bCs/>
          <w:sz w:val="20"/>
          <w:szCs w:val="20"/>
        </w:rPr>
        <w:t>Lotyšsku</w:t>
      </w:r>
      <w:r w:rsidRPr="00B3645D">
        <w:rPr>
          <w:rFonts w:cs="Arial"/>
          <w:bCs/>
          <w:sz w:val="20"/>
          <w:szCs w:val="20"/>
        </w:rPr>
        <w:t xml:space="preserve"> (2</w:t>
      </w:r>
      <w:r>
        <w:rPr>
          <w:rFonts w:cs="Arial"/>
          <w:bCs/>
          <w:sz w:val="20"/>
          <w:szCs w:val="20"/>
        </w:rPr>
        <w:t>1,7</w:t>
      </w:r>
      <w:r w:rsidRPr="00B3645D">
        <w:rPr>
          <w:rFonts w:cs="Arial"/>
          <w:bCs/>
          <w:sz w:val="20"/>
          <w:szCs w:val="20"/>
        </w:rPr>
        <w:t> %). 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říjnu</w:t>
      </w:r>
      <w:r w:rsidRPr="00B3645D">
        <w:rPr>
          <w:rFonts w:cs="Arial"/>
          <w:b/>
          <w:sz w:val="20"/>
          <w:szCs w:val="20"/>
        </w:rPr>
        <w:t xml:space="preserve"> </w:t>
      </w:r>
      <w:r w:rsidRPr="00F50017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1,5</w:t>
      </w:r>
      <w:r w:rsidRPr="00B3645D">
        <w:rPr>
          <w:rFonts w:cs="Arial"/>
          <w:sz w:val="20"/>
          <w:szCs w:val="20"/>
        </w:rPr>
        <w:t> %, což bylo o 0,</w:t>
      </w:r>
      <w:r>
        <w:rPr>
          <w:rFonts w:cs="Arial"/>
          <w:sz w:val="20"/>
          <w:szCs w:val="20"/>
        </w:rPr>
        <w:t>6</w:t>
      </w:r>
      <w:r w:rsidRPr="00B3645D">
        <w:rPr>
          <w:rFonts w:cs="Arial"/>
          <w:sz w:val="20"/>
          <w:szCs w:val="20"/>
        </w:rPr>
        <w:t> procentního bodu více než v </w:t>
      </w:r>
      <w:r>
        <w:rPr>
          <w:rFonts w:cs="Arial"/>
          <w:sz w:val="20"/>
          <w:szCs w:val="20"/>
        </w:rPr>
        <w:t>září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>Nejvíce ceny v </w:t>
      </w:r>
      <w:r>
        <w:rPr>
          <w:rFonts w:cs="Arial"/>
          <w:bCs/>
          <w:sz w:val="20"/>
          <w:szCs w:val="20"/>
        </w:rPr>
        <w:t>říjnu</w:t>
      </w:r>
      <w:r w:rsidRPr="00B3645D">
        <w:rPr>
          <w:rFonts w:cs="Arial"/>
          <w:bCs/>
          <w:sz w:val="20"/>
          <w:szCs w:val="20"/>
        </w:rPr>
        <w:t xml:space="preserve"> meziročně vzrostly v Estonsku (o </w:t>
      </w:r>
      <w:r>
        <w:rPr>
          <w:rFonts w:cs="Arial"/>
          <w:bCs/>
          <w:sz w:val="20"/>
          <w:szCs w:val="20"/>
        </w:rPr>
        <w:t>22,5</w:t>
      </w:r>
      <w:r w:rsidRPr="00B3645D">
        <w:rPr>
          <w:rFonts w:cs="Arial"/>
          <w:bCs/>
          <w:sz w:val="20"/>
          <w:szCs w:val="20"/>
        </w:rPr>
        <w:t xml:space="preserve"> %) a nejméně </w:t>
      </w:r>
      <w:r>
        <w:rPr>
          <w:rFonts w:cs="Arial"/>
          <w:bCs/>
          <w:sz w:val="20"/>
          <w:szCs w:val="20"/>
        </w:rPr>
        <w:t xml:space="preserve">ve Francii </w:t>
      </w:r>
      <w:r w:rsidRPr="00B3645D">
        <w:rPr>
          <w:rFonts w:cs="Arial"/>
          <w:bCs/>
          <w:sz w:val="20"/>
          <w:szCs w:val="20"/>
        </w:rPr>
        <w:t>(o </w:t>
      </w:r>
      <w:r>
        <w:rPr>
          <w:rFonts w:cs="Arial"/>
          <w:bCs/>
          <w:sz w:val="20"/>
          <w:szCs w:val="20"/>
        </w:rPr>
        <w:t>7,1</w:t>
      </w:r>
      <w:r w:rsidRPr="00B3645D">
        <w:rPr>
          <w:rFonts w:cs="Arial"/>
          <w:bCs/>
          <w:sz w:val="20"/>
          <w:szCs w:val="20"/>
        </w:rPr>
        <w:t> %).</w:t>
      </w:r>
    </w:p>
    <w:p w:rsidR="00E9519C" w:rsidRPr="00F37293" w:rsidRDefault="00F37293" w:rsidP="00F3729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37293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F37293">
        <w:rPr>
          <w:rFonts w:cs="Arial"/>
          <w:sz w:val="20"/>
          <w:szCs w:val="20"/>
        </w:rPr>
        <w:t>Eurostatu</w:t>
      </w:r>
      <w:proofErr w:type="spellEnd"/>
      <w:r w:rsidRPr="00F37293">
        <w:rPr>
          <w:rFonts w:cs="Arial"/>
          <w:sz w:val="20"/>
          <w:szCs w:val="20"/>
        </w:rPr>
        <w:t xml:space="preserve">: </w:t>
      </w:r>
      <w:hyperlink r:id="rId10" w:history="1">
        <w:r w:rsidRPr="00F37293">
          <w:rPr>
            <w:rStyle w:val="Hypertextovodkaz"/>
            <w:rFonts w:cs="Arial"/>
            <w:sz w:val="20"/>
            <w:szCs w:val="20"/>
          </w:rPr>
          <w:t>HICP</w:t>
        </w:r>
      </w:hyperlink>
      <w:r w:rsidRPr="00F37293">
        <w:rPr>
          <w:rFonts w:cs="Arial"/>
          <w:sz w:val="20"/>
          <w:szCs w:val="20"/>
        </w:rPr>
        <w:t>.)</w:t>
      </w:r>
    </w:p>
    <w:p w:rsidR="00E9519C" w:rsidRPr="00A64F2C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E9519C" w:rsidRDefault="00E9519C" w:rsidP="00E9519C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AB345B" w:rsidRPr="00CE1347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dubna 2022 jsou nově ve </w:t>
      </w:r>
      <w:hyperlink r:id="rId11" w:history="1">
        <w:r w:rsidRPr="008E1FDE">
          <w:rPr>
            <w:rStyle w:val="Hypertextovodkaz"/>
            <w:rFonts w:cs="Arial"/>
            <w:sz w:val="20"/>
            <w:szCs w:val="20"/>
          </w:rPr>
          <w:t>Veřejné databázi</w:t>
        </w:r>
      </w:hyperlink>
      <w:r>
        <w:rPr>
          <w:rFonts w:cs="Arial"/>
          <w:sz w:val="20"/>
          <w:szCs w:val="20"/>
        </w:rPr>
        <w:t xml:space="preserve"> souběžně s Rychlou informací zveřejňována data dle základního i podrobného členění klasifikace ECOICOP a spotřebitelské ceny vybraných druhů zboží a služeb.</w:t>
      </w:r>
    </w:p>
    <w:sectPr w:rsidR="00AB345B" w:rsidRPr="00CE1347" w:rsidSect="00EF11F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86" w:rsidRDefault="00785B86" w:rsidP="00E71A58">
      <w:r>
        <w:separator/>
      </w:r>
    </w:p>
  </w:endnote>
  <w:endnote w:type="continuationSeparator" w:id="0">
    <w:p w:rsidR="00785B86" w:rsidRDefault="00785B8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30091">
      <w:rPr>
        <w:szCs w:val="16"/>
      </w:rPr>
      <w:t>listopad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030091">
      <w:rPr>
        <w:rStyle w:val="ZpatChar"/>
        <w:i/>
        <w:szCs w:val="16"/>
      </w:rPr>
      <w:t>Novem</w:t>
    </w:r>
    <w:r w:rsidR="00B8718E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86" w:rsidRDefault="00785B86" w:rsidP="00E71A58">
      <w:r>
        <w:separator/>
      </w:r>
    </w:p>
  </w:footnote>
  <w:footnote w:type="continuationSeparator" w:id="0">
    <w:p w:rsidR="00785B86" w:rsidRDefault="00785B86" w:rsidP="00E71A58">
      <w:r>
        <w:continuationSeparator/>
      </w:r>
    </w:p>
  </w:footnote>
  <w:footnote w:id="1">
    <w:p w:rsidR="005124E9" w:rsidRPr="005124E9" w:rsidRDefault="005124E9" w:rsidP="005124E9">
      <w:pPr>
        <w:pStyle w:val="Textpoznpodarou"/>
        <w:spacing w:line="288" w:lineRule="auto"/>
        <w:contextualSpacing/>
        <w:jc w:val="both"/>
        <w:rPr>
          <w:lang w:val="cs-CZ"/>
        </w:rPr>
      </w:pPr>
      <w:r w:rsidRPr="005124E9">
        <w:rPr>
          <w:rStyle w:val="Znakapoznpodarou"/>
          <w:rFonts w:ascii="Arial" w:hAnsi="Arial" w:cs="Arial"/>
          <w:sz w:val="18"/>
          <w:szCs w:val="18"/>
          <w:lang w:val="cs-CZ"/>
        </w:rPr>
        <w:footnoteRef/>
      </w:r>
      <w:r w:rsidRPr="005124E9">
        <w:rPr>
          <w:rFonts w:ascii="Arial" w:hAnsi="Arial" w:cs="Arial"/>
          <w:sz w:val="18"/>
          <w:szCs w:val="18"/>
          <w:vertAlign w:val="superscript"/>
          <w:lang w:val="cs-CZ"/>
        </w:rPr>
        <w:t xml:space="preserve">) </w:t>
      </w:r>
      <w:r w:rsidRPr="005124E9">
        <w:rPr>
          <w:rFonts w:ascii="Arial" w:hAnsi="Arial" w:cs="Arial"/>
          <w:b/>
          <w:i/>
          <w:lang w:val="cs-CZ"/>
        </w:rPr>
        <w:t>Zrychlení/zpomalení</w:t>
      </w:r>
      <w:r w:rsidRPr="005124E9">
        <w:rPr>
          <w:rFonts w:ascii="Arial" w:hAnsi="Arial" w:cs="Arial"/>
          <w:i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F071F6" w:rsidRPr="00056397" w:rsidRDefault="00F071F6" w:rsidP="006E7114">
      <w:pPr>
        <w:pStyle w:val="Poznamkytexty"/>
        <w:spacing w:line="288" w:lineRule="auto"/>
      </w:pPr>
      <w:r w:rsidRPr="00056397">
        <w:rPr>
          <w:rStyle w:val="Znakapoznpodarou"/>
        </w:rPr>
        <w:footnoteRef/>
      </w:r>
      <w:r w:rsidRPr="00056397">
        <w:rPr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80C6E"/>
    <w:rsid w:val="00284103"/>
    <w:rsid w:val="00284581"/>
    <w:rsid w:val="00285412"/>
    <w:rsid w:val="002860E3"/>
    <w:rsid w:val="002901CD"/>
    <w:rsid w:val="002927A1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316C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0242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CF3"/>
    <w:rsid w:val="00994229"/>
    <w:rsid w:val="009957A3"/>
    <w:rsid w:val="009968D6"/>
    <w:rsid w:val="009A1CAB"/>
    <w:rsid w:val="009A60D1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57D860D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a-ke-spotrebitelskym-cenam-energii-listopad-20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db.czso.cz/vdbvo2/faces/cs/index.jsf?page=statistiky&amp;katalog=317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e-poznamky-k-indexu-spotrebitelskych-cen-imputovane-najemn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7CC1-C472-463E-AC16-C0C9211F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457</TotalTime>
  <Pages>2</Pages>
  <Words>695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209</cp:revision>
  <cp:lastPrinted>2017-01-18T13:33:00Z</cp:lastPrinted>
  <dcterms:created xsi:type="dcterms:W3CDTF">2017-02-09T16:27:00Z</dcterms:created>
  <dcterms:modified xsi:type="dcterms:W3CDTF">2022-12-09T12:40:00Z</dcterms:modified>
</cp:coreProperties>
</file>