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6D8" w:rsidRPr="001F0747" w:rsidRDefault="005D16D8" w:rsidP="005D16D8">
      <w:pPr>
        <w:pageBreakBefore/>
        <w:jc w:val="both"/>
        <w:rPr>
          <w:rFonts w:ascii="Arial" w:hAnsi="Arial" w:cs="Arial"/>
          <w:sz w:val="32"/>
          <w:lang w:val="en-GB"/>
        </w:rPr>
      </w:pPr>
      <w:r w:rsidRPr="001F0747">
        <w:rPr>
          <w:rFonts w:ascii="Arial" w:hAnsi="Arial" w:cs="Arial"/>
          <w:b/>
          <w:sz w:val="32"/>
          <w:lang w:val="en-GB"/>
        </w:rPr>
        <w:t>Contents</w:t>
      </w:r>
    </w:p>
    <w:p w:rsidR="005D16D8" w:rsidRPr="001F0747" w:rsidRDefault="005D16D8" w:rsidP="005D16D8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Introduction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Basic methodological approaches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Notes on methodology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Economic activity status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Unemployment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Relative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5D16D8" w:rsidRPr="001F0747" w:rsidRDefault="005D16D8" w:rsidP="005D16D8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Technical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Estimates of confidence intervals</w:t>
      </w:r>
    </w:p>
    <w:p w:rsidR="005D16D8" w:rsidRPr="001F0747" w:rsidRDefault="005D16D8" w:rsidP="005D16D8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>Use of Annex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Sources and classifications used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Characteristics of classifications and nomenclatures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List of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Availability of the publication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1F0747">
        <w:rPr>
          <w:lang w:val="en-GB"/>
        </w:rPr>
        <w:t>Tables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1</w:t>
      </w:r>
      <w:r w:rsidRPr="001F0747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101 / 3</w:t>
      </w:r>
      <w:r w:rsidRPr="001F0747">
        <w:rPr>
          <w:rFonts w:ascii="Arial" w:hAnsi="Arial" w:cs="Arial"/>
          <w:lang w:val="en-GB"/>
        </w:rPr>
        <w:tab/>
        <w:t>Population of the Czech Republic: by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102 / 3</w:t>
      </w:r>
      <w:r w:rsidRPr="001F0747">
        <w:rPr>
          <w:rFonts w:ascii="Arial" w:hAnsi="Arial" w:cs="Arial"/>
          <w:lang w:val="en-GB"/>
        </w:rPr>
        <w:tab/>
        <w:t>Population of the Czech Republic: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104 / 1</w:t>
      </w:r>
      <w:r w:rsidRPr="001F0747">
        <w:rPr>
          <w:rFonts w:ascii="Arial" w:hAnsi="Arial" w:cs="Arial"/>
          <w:lang w:val="en-GB"/>
        </w:rPr>
        <w:tab/>
        <w:t>Level of formal education and participation in non-forma</w:t>
      </w:r>
      <w:r w:rsidR="00BF4EA4">
        <w:rPr>
          <w:rFonts w:ascii="Arial" w:hAnsi="Arial" w:cs="Arial"/>
          <w:lang w:val="en-GB"/>
        </w:rPr>
        <w:t>l education in the age group 15–</w:t>
      </w:r>
      <w:r w:rsidRPr="001F0747">
        <w:rPr>
          <w:rFonts w:ascii="Arial" w:hAnsi="Arial" w:cs="Arial"/>
          <w:lang w:val="en-GB"/>
        </w:rPr>
        <w:t>64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106 / 3</w:t>
      </w: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The</w:t>
      </w:r>
      <w:proofErr w:type="gramEnd"/>
      <w:r w:rsidRPr="001F0747">
        <w:rPr>
          <w:rFonts w:ascii="Arial" w:hAnsi="Arial" w:cs="Arial"/>
          <w:lang w:val="en-GB"/>
        </w:rPr>
        <w:t xml:space="preserve"> age structure of the economic inactivity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Employment in the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2</w:t>
      </w:r>
      <w:r w:rsidRPr="001F0747">
        <w:rPr>
          <w:rFonts w:ascii="Arial" w:hAnsi="Arial" w:cs="Arial"/>
          <w:lang w:val="en-GB"/>
        </w:rPr>
        <w:tab/>
        <w:t>Employment trends in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201 / 3</w:t>
      </w:r>
      <w:r w:rsidRPr="001F0747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203 / 3</w:t>
      </w:r>
      <w:r w:rsidRPr="001F0747">
        <w:rPr>
          <w:rFonts w:ascii="Arial" w:hAnsi="Arial" w:cs="Arial"/>
          <w:lang w:val="en-GB"/>
        </w:rPr>
        <w:tab/>
        <w:t>Employment in national economy: by Region – part 3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206 / 1</w:t>
      </w:r>
      <w:r w:rsidRPr="001F0747">
        <w:rPr>
          <w:rFonts w:ascii="Arial" w:hAnsi="Arial" w:cs="Arial"/>
          <w:lang w:val="en-GB"/>
        </w:rPr>
        <w:tab/>
        <w:t>Employment in national economy: by educational attainment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207 / 1</w:t>
      </w:r>
      <w:r w:rsidRPr="001F0747">
        <w:rPr>
          <w:rFonts w:ascii="Arial" w:hAnsi="Arial" w:cs="Arial"/>
          <w:lang w:val="en-GB"/>
        </w:rPr>
        <w:tab/>
        <w:t>Employment: by status in employment, classification of occupations and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208 / 1</w:t>
      </w:r>
      <w:r w:rsidRPr="001F0747">
        <w:rPr>
          <w:rFonts w:ascii="Arial" w:hAnsi="Arial" w:cs="Arial"/>
          <w:lang w:val="en-GB"/>
        </w:rPr>
        <w:tab/>
        <w:t>Employment: by status in employment and CZ-NACE section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209 / 1</w:t>
      </w:r>
      <w:r w:rsidRPr="001F0747">
        <w:rPr>
          <w:rFonts w:ascii="Arial" w:hAnsi="Arial" w:cs="Arial"/>
          <w:lang w:val="en-GB"/>
        </w:rPr>
        <w:tab/>
        <w:t>Classification of occupations: by CZ-NACE activity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lastRenderedPageBreak/>
        <w:t>210 / 1</w:t>
      </w:r>
      <w:r w:rsidRPr="001F0747">
        <w:rPr>
          <w:rFonts w:ascii="Arial" w:hAnsi="Arial" w:cs="Arial"/>
          <w:lang w:val="en-GB"/>
        </w:rPr>
        <w:tab/>
        <w:t>First job holders: by selected CZ-NACE section and division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211 / 1</w:t>
      </w:r>
      <w:r w:rsidRPr="001F0747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women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Working hours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301 / 3</w:t>
      </w:r>
      <w:r w:rsidRPr="001F0747">
        <w:rPr>
          <w:rFonts w:ascii="Arial" w:hAnsi="Arial" w:cs="Arial"/>
          <w:lang w:val="en-GB"/>
        </w:rPr>
        <w:tab/>
        <w:t>Hours usually and actually worked in the week: by Region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302 / 1</w:t>
      </w:r>
      <w:r w:rsidRPr="001F0747">
        <w:rPr>
          <w:rFonts w:ascii="Arial" w:hAnsi="Arial" w:cs="Arial"/>
          <w:lang w:val="en-GB"/>
        </w:rPr>
        <w:tab/>
        <w:t>Hours worked: by CZ-NACE activity, part-time and full-time job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303 / 2</w:t>
      </w:r>
      <w:r w:rsidRPr="001F0747">
        <w:rPr>
          <w:rFonts w:ascii="Arial" w:hAnsi="Arial" w:cs="Arial"/>
          <w:lang w:val="en-GB"/>
        </w:rPr>
        <w:tab/>
        <w:t>Hours actually worked: by status in employment and Area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304 / 1</w:t>
      </w:r>
      <w:r w:rsidRPr="001F0747">
        <w:rPr>
          <w:rFonts w:ascii="Arial" w:hAnsi="Arial" w:cs="Arial"/>
          <w:lang w:val="en-GB"/>
        </w:rPr>
        <w:tab/>
        <w:t>Hours actually worked: by status in employment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305 / 1</w:t>
      </w:r>
      <w:r w:rsidRPr="001F0747">
        <w:rPr>
          <w:rFonts w:ascii="Arial" w:hAnsi="Arial" w:cs="Arial"/>
          <w:lang w:val="en-GB"/>
        </w:rPr>
        <w:tab/>
        <w:t>Employment by age: part-time jobs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306 / 2</w:t>
      </w:r>
      <w:r w:rsidRPr="001F0747">
        <w:rPr>
          <w:rFonts w:ascii="Arial" w:hAnsi="Arial" w:cs="Arial"/>
          <w:lang w:val="en-GB"/>
        </w:rPr>
        <w:tab/>
        <w:t>Work activity and people with disabilities: by area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Unemployment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3</w:t>
      </w:r>
      <w:r w:rsidRPr="001F0747">
        <w:rPr>
          <w:rFonts w:ascii="Arial" w:hAnsi="Arial" w:cs="Arial"/>
          <w:lang w:val="en-GB"/>
        </w:rPr>
        <w:tab/>
        <w:t>Unemployment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401 / 3</w:t>
      </w:r>
      <w:r w:rsidRPr="001F0747">
        <w:rPr>
          <w:rFonts w:ascii="Arial" w:hAnsi="Arial" w:cs="Arial"/>
          <w:lang w:val="en-GB"/>
        </w:rPr>
        <w:tab/>
        <w:t>Unemployed persons: by age, education and specific groups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402 / 1</w:t>
      </w:r>
      <w:r w:rsidRPr="001F0747">
        <w:rPr>
          <w:rFonts w:ascii="Arial" w:hAnsi="Arial" w:cs="Arial"/>
          <w:lang w:val="en-GB"/>
        </w:rPr>
        <w:tab/>
        <w:t>Unemployed persons: by education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403 / 1</w:t>
      </w:r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 w:cs="Arial"/>
          <w:bCs/>
          <w:lang w:val="en-GB"/>
        </w:rPr>
        <w:t>L</w:t>
      </w:r>
      <w:r w:rsidRPr="001F0747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404 / 1</w:t>
      </w:r>
      <w:r w:rsidRPr="001F0747">
        <w:rPr>
          <w:rFonts w:ascii="Arial" w:hAnsi="Arial" w:cs="Arial"/>
          <w:lang w:val="en-GB"/>
        </w:rPr>
        <w:tab/>
        <w:t>Job seeking conditions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405 / 2</w:t>
      </w:r>
      <w:r w:rsidRPr="001F0747">
        <w:rPr>
          <w:rFonts w:ascii="Arial" w:hAnsi="Arial" w:cs="Arial"/>
          <w:lang w:val="en-GB"/>
        </w:rPr>
        <w:tab/>
        <w:t>Unemployment: by Area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406 / 1</w:t>
      </w:r>
      <w:r w:rsidRPr="001F0747">
        <w:rPr>
          <w:rFonts w:ascii="Arial" w:hAnsi="Arial" w:cs="Arial"/>
          <w:lang w:val="en-GB"/>
        </w:rPr>
        <w:tab/>
        <w:t>Long-term unemployment: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407 / 3</w:t>
      </w:r>
      <w:r w:rsidRPr="001F0747">
        <w:rPr>
          <w:rFonts w:ascii="Arial" w:hAnsi="Arial" w:cs="Arial"/>
          <w:lang w:val="en-GB"/>
        </w:rPr>
        <w:tab/>
        <w:t>Long-term unemployment: by Region of the Czech Republic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Times series of basic indicators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503 / 1</w:t>
      </w:r>
      <w:r w:rsidRPr="001F0747">
        <w:rPr>
          <w:rFonts w:ascii="Arial" w:hAnsi="Arial" w:cs="Arial"/>
          <w:lang w:val="en-GB"/>
        </w:rPr>
        <w:tab/>
        <w:t>Second jobs – part 1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506 / 1</w:t>
      </w:r>
      <w:r w:rsidRPr="001F0747">
        <w:rPr>
          <w:rFonts w:ascii="Arial" w:hAnsi="Arial" w:cs="Arial"/>
          <w:lang w:val="en-GB"/>
        </w:rPr>
        <w:tab/>
        <w:t>Unemployment – part 2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women</w:t>
      </w:r>
    </w:p>
    <w:p w:rsidR="005D16D8" w:rsidRPr="001F0747" w:rsidRDefault="005D16D8" w:rsidP="005D16D8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br w:type="page"/>
      </w:r>
      <w:r w:rsidRPr="001F0747">
        <w:rPr>
          <w:rFonts w:ascii="Arial" w:hAnsi="Arial" w:cs="Arial"/>
          <w:sz w:val="20"/>
          <w:lang w:val="en-GB"/>
        </w:rPr>
        <w:lastRenderedPageBreak/>
        <w:t>ANNEX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over, by gender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IIa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IIb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level, by gender</w:t>
      </w:r>
    </w:p>
    <w:p w:rsidR="00337F32" w:rsidRPr="001F0747" w:rsidRDefault="005D16D8" w:rsidP="00572732">
      <w:pPr>
        <w:ind w:left="567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III</w:t>
      </w:r>
      <w:r w:rsidRPr="001F0747">
        <w:rPr>
          <w:rFonts w:ascii="Arial" w:hAnsi="Arial" w:cs="Arial"/>
          <w:lang w:val="en-GB"/>
        </w:rPr>
        <w:tab/>
        <w:t>Relative sample sizes in Regions, Areas and the Czech Republic</w:t>
      </w:r>
      <w:bookmarkStart w:id="0" w:name="_GoBack"/>
      <w:bookmarkEnd w:id="0"/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</w:p>
    <w:sectPr w:rsidR="007651EE" w:rsidRPr="001F0747" w:rsidSect="00572732">
      <w:footerReference w:type="even" r:id="rId7"/>
      <w:footerReference w:type="default" r:id="rId8"/>
      <w:endnotePr>
        <w:numFmt w:val="decimal"/>
      </w:endnotePr>
      <w:type w:val="evenPage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5D2" w:rsidRDefault="005B75D2">
      <w:r>
        <w:separator/>
      </w:r>
    </w:p>
  </w:endnote>
  <w:endnote w:type="continuationSeparator" w:id="0">
    <w:p w:rsidR="005B75D2" w:rsidRDefault="005B7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7635A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07B3FD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65697">
      <w:rPr>
        <w:rStyle w:val="slostrnky"/>
        <w:rFonts w:ascii="Arial" w:hAnsi="Arial" w:cs="Arial"/>
        <w:sz w:val="18"/>
      </w:rPr>
      <w:tab/>
    </w:r>
    <w:r w:rsidR="00565697">
      <w:rPr>
        <w:rFonts w:ascii="Arial" w:hAnsi="Arial" w:cs="Arial"/>
        <w:sz w:val="18"/>
        <w:lang w:val="en-GB"/>
      </w:rPr>
      <w:t>Averages of the year</w:t>
    </w:r>
    <w:r w:rsidR="00565697">
      <w:rPr>
        <w:rFonts w:ascii="Arial" w:hAnsi="Arial" w:cs="Arial"/>
        <w:sz w:val="18"/>
      </w:rPr>
      <w:t xml:space="preserve"> 202</w:t>
    </w:r>
    <w:r w:rsidR="00243613">
      <w:rPr>
        <w:rFonts w:ascii="Arial" w:hAnsi="Arial" w:cs="Arial"/>
        <w:sz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7635A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9780CB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565697">
      <w:rPr>
        <w:rFonts w:ascii="Arial" w:hAnsi="Arial" w:cs="Arial"/>
        <w:sz w:val="18"/>
        <w:lang w:val="en-GB"/>
      </w:rPr>
      <w:t xml:space="preserve"> Averages of the year</w:t>
    </w:r>
    <w:r w:rsidR="00061B53">
      <w:rPr>
        <w:rFonts w:ascii="Arial" w:hAnsi="Arial" w:cs="Arial"/>
        <w:sz w:val="18"/>
      </w:rPr>
      <w:t xml:space="preserve"> 202</w:t>
    </w:r>
    <w:r w:rsidR="00243613">
      <w:rPr>
        <w:rFonts w:ascii="Arial" w:hAnsi="Arial" w:cs="Arial"/>
        <w:sz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5D2" w:rsidRDefault="005B75D2">
      <w:r>
        <w:separator/>
      </w:r>
    </w:p>
  </w:footnote>
  <w:footnote w:type="continuationSeparator" w:id="0">
    <w:p w:rsidR="005B75D2" w:rsidRDefault="005B7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4B0A"/>
    <w:rsid w:val="00037C78"/>
    <w:rsid w:val="0005645E"/>
    <w:rsid w:val="00061B53"/>
    <w:rsid w:val="00064FA5"/>
    <w:rsid w:val="00067D9C"/>
    <w:rsid w:val="00072D30"/>
    <w:rsid w:val="00082F1A"/>
    <w:rsid w:val="00094EF4"/>
    <w:rsid w:val="000970B2"/>
    <w:rsid w:val="000C4297"/>
    <w:rsid w:val="000D0DFF"/>
    <w:rsid w:val="000D4BAF"/>
    <w:rsid w:val="000D7442"/>
    <w:rsid w:val="000F4D0E"/>
    <w:rsid w:val="000F6508"/>
    <w:rsid w:val="00101544"/>
    <w:rsid w:val="00111C18"/>
    <w:rsid w:val="00112BDB"/>
    <w:rsid w:val="00121EBC"/>
    <w:rsid w:val="001449BE"/>
    <w:rsid w:val="00154BB9"/>
    <w:rsid w:val="001778C0"/>
    <w:rsid w:val="0019202C"/>
    <w:rsid w:val="001924DF"/>
    <w:rsid w:val="00197321"/>
    <w:rsid w:val="001A5FB2"/>
    <w:rsid w:val="001A748D"/>
    <w:rsid w:val="001B5871"/>
    <w:rsid w:val="001B6D87"/>
    <w:rsid w:val="001D3950"/>
    <w:rsid w:val="001F0747"/>
    <w:rsid w:val="001F3554"/>
    <w:rsid w:val="0020314C"/>
    <w:rsid w:val="002066B5"/>
    <w:rsid w:val="00211D45"/>
    <w:rsid w:val="00220F20"/>
    <w:rsid w:val="0022292E"/>
    <w:rsid w:val="00226708"/>
    <w:rsid w:val="002322F1"/>
    <w:rsid w:val="00235CA7"/>
    <w:rsid w:val="00243613"/>
    <w:rsid w:val="00246496"/>
    <w:rsid w:val="00246963"/>
    <w:rsid w:val="002667FC"/>
    <w:rsid w:val="002705C0"/>
    <w:rsid w:val="0029134C"/>
    <w:rsid w:val="00296C04"/>
    <w:rsid w:val="002A52DF"/>
    <w:rsid w:val="002A7542"/>
    <w:rsid w:val="002B48B6"/>
    <w:rsid w:val="002D4396"/>
    <w:rsid w:val="002E2059"/>
    <w:rsid w:val="002E7FF8"/>
    <w:rsid w:val="002F06C0"/>
    <w:rsid w:val="00305A5B"/>
    <w:rsid w:val="003075E1"/>
    <w:rsid w:val="00322DDB"/>
    <w:rsid w:val="003312E1"/>
    <w:rsid w:val="00333619"/>
    <w:rsid w:val="003340F4"/>
    <w:rsid w:val="00337F32"/>
    <w:rsid w:val="00342A3B"/>
    <w:rsid w:val="00363981"/>
    <w:rsid w:val="003927E0"/>
    <w:rsid w:val="00392A8D"/>
    <w:rsid w:val="003A346B"/>
    <w:rsid w:val="003A7667"/>
    <w:rsid w:val="003B7DE1"/>
    <w:rsid w:val="003D5D2A"/>
    <w:rsid w:val="003E01B0"/>
    <w:rsid w:val="003E3556"/>
    <w:rsid w:val="00400B6D"/>
    <w:rsid w:val="00401987"/>
    <w:rsid w:val="00406557"/>
    <w:rsid w:val="00410F86"/>
    <w:rsid w:val="0041504C"/>
    <w:rsid w:val="00432227"/>
    <w:rsid w:val="00436016"/>
    <w:rsid w:val="0045052A"/>
    <w:rsid w:val="00457575"/>
    <w:rsid w:val="004779F5"/>
    <w:rsid w:val="00484B46"/>
    <w:rsid w:val="00487970"/>
    <w:rsid w:val="004A0E18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65697"/>
    <w:rsid w:val="0057225A"/>
    <w:rsid w:val="00572732"/>
    <w:rsid w:val="00581EDD"/>
    <w:rsid w:val="0059376C"/>
    <w:rsid w:val="00594317"/>
    <w:rsid w:val="00597B29"/>
    <w:rsid w:val="005B75D2"/>
    <w:rsid w:val="005D04CA"/>
    <w:rsid w:val="005D16D8"/>
    <w:rsid w:val="005D255A"/>
    <w:rsid w:val="005D5004"/>
    <w:rsid w:val="005E175E"/>
    <w:rsid w:val="005E7CE3"/>
    <w:rsid w:val="005F2FD6"/>
    <w:rsid w:val="006070C8"/>
    <w:rsid w:val="00614ACD"/>
    <w:rsid w:val="00622FB1"/>
    <w:rsid w:val="00632415"/>
    <w:rsid w:val="0065261A"/>
    <w:rsid w:val="006A464D"/>
    <w:rsid w:val="006D3215"/>
    <w:rsid w:val="006E57A2"/>
    <w:rsid w:val="006F3585"/>
    <w:rsid w:val="00701E10"/>
    <w:rsid w:val="00702AEF"/>
    <w:rsid w:val="00712103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35AE"/>
    <w:rsid w:val="007651EE"/>
    <w:rsid w:val="00765AA0"/>
    <w:rsid w:val="00766BB1"/>
    <w:rsid w:val="00766FC8"/>
    <w:rsid w:val="0077442F"/>
    <w:rsid w:val="007A1711"/>
    <w:rsid w:val="007B1986"/>
    <w:rsid w:val="007C6406"/>
    <w:rsid w:val="007E5DC2"/>
    <w:rsid w:val="007F69FC"/>
    <w:rsid w:val="007F7476"/>
    <w:rsid w:val="00812BC0"/>
    <w:rsid w:val="00814B30"/>
    <w:rsid w:val="00815CE1"/>
    <w:rsid w:val="0083788F"/>
    <w:rsid w:val="00843E4B"/>
    <w:rsid w:val="0086140B"/>
    <w:rsid w:val="00870156"/>
    <w:rsid w:val="00885E39"/>
    <w:rsid w:val="00896A76"/>
    <w:rsid w:val="008A1C36"/>
    <w:rsid w:val="008B5185"/>
    <w:rsid w:val="008C42BE"/>
    <w:rsid w:val="008C5C8B"/>
    <w:rsid w:val="008C7221"/>
    <w:rsid w:val="008D16ED"/>
    <w:rsid w:val="008D586A"/>
    <w:rsid w:val="008E1B4A"/>
    <w:rsid w:val="008E4B1D"/>
    <w:rsid w:val="008F33E3"/>
    <w:rsid w:val="009244AB"/>
    <w:rsid w:val="0092789E"/>
    <w:rsid w:val="00937DA8"/>
    <w:rsid w:val="009500ED"/>
    <w:rsid w:val="00953F58"/>
    <w:rsid w:val="0095517C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6597"/>
    <w:rsid w:val="009F7580"/>
    <w:rsid w:val="00A042D6"/>
    <w:rsid w:val="00A125D1"/>
    <w:rsid w:val="00A14479"/>
    <w:rsid w:val="00A21736"/>
    <w:rsid w:val="00A276D2"/>
    <w:rsid w:val="00A34946"/>
    <w:rsid w:val="00A35F52"/>
    <w:rsid w:val="00A36189"/>
    <w:rsid w:val="00A40C66"/>
    <w:rsid w:val="00A52517"/>
    <w:rsid w:val="00A670DF"/>
    <w:rsid w:val="00A73347"/>
    <w:rsid w:val="00A86F3A"/>
    <w:rsid w:val="00AA5A7C"/>
    <w:rsid w:val="00AA5CB6"/>
    <w:rsid w:val="00AB70D5"/>
    <w:rsid w:val="00AD5307"/>
    <w:rsid w:val="00AE073D"/>
    <w:rsid w:val="00AF43D1"/>
    <w:rsid w:val="00AF6EFA"/>
    <w:rsid w:val="00B01345"/>
    <w:rsid w:val="00B07177"/>
    <w:rsid w:val="00B14606"/>
    <w:rsid w:val="00B20C00"/>
    <w:rsid w:val="00B2598C"/>
    <w:rsid w:val="00B40D70"/>
    <w:rsid w:val="00B567AD"/>
    <w:rsid w:val="00B61245"/>
    <w:rsid w:val="00B72E5D"/>
    <w:rsid w:val="00B96C4B"/>
    <w:rsid w:val="00BA19B2"/>
    <w:rsid w:val="00BB4E49"/>
    <w:rsid w:val="00BD086D"/>
    <w:rsid w:val="00BD479E"/>
    <w:rsid w:val="00BE18C8"/>
    <w:rsid w:val="00BE5B18"/>
    <w:rsid w:val="00BF4EA4"/>
    <w:rsid w:val="00C0063A"/>
    <w:rsid w:val="00C1018A"/>
    <w:rsid w:val="00C1614B"/>
    <w:rsid w:val="00C2323E"/>
    <w:rsid w:val="00C3626F"/>
    <w:rsid w:val="00C75AD6"/>
    <w:rsid w:val="00C82B3A"/>
    <w:rsid w:val="00CC38C3"/>
    <w:rsid w:val="00CD60C5"/>
    <w:rsid w:val="00CE0EE7"/>
    <w:rsid w:val="00CE353F"/>
    <w:rsid w:val="00D05823"/>
    <w:rsid w:val="00D25195"/>
    <w:rsid w:val="00D3437C"/>
    <w:rsid w:val="00D43E3D"/>
    <w:rsid w:val="00D6182E"/>
    <w:rsid w:val="00D7197B"/>
    <w:rsid w:val="00D82069"/>
    <w:rsid w:val="00D85BF8"/>
    <w:rsid w:val="00D91DC9"/>
    <w:rsid w:val="00D94C4A"/>
    <w:rsid w:val="00DA7526"/>
    <w:rsid w:val="00DB0E87"/>
    <w:rsid w:val="00DC6C09"/>
    <w:rsid w:val="00DD1854"/>
    <w:rsid w:val="00DE01A8"/>
    <w:rsid w:val="00DE343E"/>
    <w:rsid w:val="00DE5DDC"/>
    <w:rsid w:val="00DF2B15"/>
    <w:rsid w:val="00DF5FDC"/>
    <w:rsid w:val="00E15909"/>
    <w:rsid w:val="00E22270"/>
    <w:rsid w:val="00E34D91"/>
    <w:rsid w:val="00E353EC"/>
    <w:rsid w:val="00E365AA"/>
    <w:rsid w:val="00E44C77"/>
    <w:rsid w:val="00EA604E"/>
    <w:rsid w:val="00EE5E7E"/>
    <w:rsid w:val="00EE7322"/>
    <w:rsid w:val="00F32BCA"/>
    <w:rsid w:val="00F35EC1"/>
    <w:rsid w:val="00F57FCC"/>
    <w:rsid w:val="00F8112E"/>
    <w:rsid w:val="00F9775E"/>
    <w:rsid w:val="00FA4ADA"/>
    <w:rsid w:val="00FA4BCF"/>
    <w:rsid w:val="00FC2BCC"/>
    <w:rsid w:val="00FC3F01"/>
    <w:rsid w:val="00FD283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5:docId w15:val="{3CCE77B7-5926-4921-9B70-19C73C6A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4909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2010-04-14T14:30:00Z</cp:lastPrinted>
  <dcterms:created xsi:type="dcterms:W3CDTF">2023-10-10T12:28:00Z</dcterms:created>
  <dcterms:modified xsi:type="dcterms:W3CDTF">2023-10-10T12:28:00Z</dcterms:modified>
</cp:coreProperties>
</file>