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18" w:rsidRPr="00FA7E18" w:rsidRDefault="00FA7E18" w:rsidP="00FA7E18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88"/>
      <w:bookmarkStart w:id="1" w:name="_Toc498434417"/>
      <w:r w:rsidRPr="00FA7E18">
        <w:rPr>
          <w:rFonts w:cs="Arial"/>
          <w:b/>
          <w:bCs/>
          <w:iCs/>
          <w:sz w:val="32"/>
          <w:szCs w:val="28"/>
        </w:rPr>
        <w:t>SEKCE I</w:t>
      </w:r>
      <w:r w:rsidRPr="00FA7E18">
        <w:rPr>
          <w:rFonts w:cs="Arial"/>
          <w:b/>
          <w:bCs/>
          <w:iCs/>
          <w:sz w:val="32"/>
          <w:szCs w:val="28"/>
        </w:rPr>
        <w:tab/>
        <w:t>–</w:t>
      </w:r>
      <w:r w:rsidRPr="00FA7E18">
        <w:rPr>
          <w:rFonts w:cs="Arial"/>
          <w:b/>
          <w:bCs/>
          <w:iCs/>
          <w:sz w:val="32"/>
          <w:szCs w:val="28"/>
        </w:rPr>
        <w:tab/>
        <w:t>UBYTOVACÍ A STRAVOVACÍ SLUŽBY</w:t>
      </w:r>
      <w:bookmarkEnd w:id="0"/>
      <w:bookmarkEnd w:id="1"/>
    </w:p>
    <w:p w:rsidR="00FA7E18" w:rsidRPr="00FA7E18" w:rsidRDefault="00FA7E18" w:rsidP="00FA7E18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FA7E18">
        <w:rPr>
          <w:rFonts w:cs="Arial"/>
          <w:b/>
          <w:bCs/>
          <w:i/>
          <w:sz w:val="28"/>
          <w:szCs w:val="26"/>
        </w:rPr>
        <w:t>55 Ubytovací služby</w:t>
      </w: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55.1 Ubytovací služby v hotelích a podobných zařízeních, vč. každodenního úklidu (kromě nemovitostí užívaných na časový úsek)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55.10 Ubytovací služby v hotelích a podobných zařízeních, vč. každodenního úklidu (kromě nemovitostí užívaných na časový úsek)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55.10.1 Ubytovací služby v hotelích a podobných zařízeních, vč. každodenního úklidu (kromě nemovitostí užívaných na časový úsek)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v nemovitostech užívaných na časový úsek (</w:t>
      </w:r>
      <w:proofErr w:type="spellStart"/>
      <w:r w:rsidRPr="00FA7E18">
        <w:rPr>
          <w:rFonts w:cs="Arial"/>
          <w:sz w:val="18"/>
        </w:rPr>
        <w:t>time</w:t>
      </w:r>
      <w:proofErr w:type="spellEnd"/>
      <w:r w:rsidRPr="00FA7E18">
        <w:rPr>
          <w:rFonts w:cs="Arial"/>
          <w:sz w:val="18"/>
        </w:rPr>
        <w:t>-</w:t>
      </w:r>
      <w:proofErr w:type="spellStart"/>
      <w:r w:rsidRPr="00FA7E18">
        <w:rPr>
          <w:rFonts w:cs="Arial"/>
          <w:sz w:val="18"/>
        </w:rPr>
        <w:t>share</w:t>
      </w:r>
      <w:proofErr w:type="spellEnd"/>
      <w:r w:rsidRPr="00FA7E18">
        <w:rPr>
          <w:rFonts w:cs="Arial"/>
          <w:sz w:val="18"/>
        </w:rPr>
        <w:t>) pro návštěvníky mimo</w:t>
      </w:r>
    </w:p>
    <w:p w:rsidR="00FA7E18" w:rsidRPr="00FA7E18" w:rsidRDefault="00FA7E18" w:rsidP="00FA7E18">
      <w:pPr>
        <w:keepNext/>
        <w:tabs>
          <w:tab w:val="left" w:pos="3015"/>
        </w:tabs>
        <w:spacing w:after="0" w:line="240" w:lineRule="auto"/>
        <w:ind w:left="1077" w:hanging="113"/>
        <w:rPr>
          <w:rFonts w:cs="Arial"/>
          <w:sz w:val="18"/>
        </w:rPr>
      </w:pPr>
      <w:r w:rsidRPr="00FA7E18">
        <w:rPr>
          <w:rFonts w:cs="Arial"/>
          <w:sz w:val="18"/>
        </w:rPr>
        <w:t>jejich obvyklé bydliště (55.20.12)</w:t>
      </w:r>
    </w:p>
    <w:p w:rsidR="00FA7E18" w:rsidRPr="00FA7E18" w:rsidRDefault="00FA7E18" w:rsidP="00FA7E18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55.10.10 </w:t>
      </w:r>
      <w:r w:rsidRPr="00FA7E18">
        <w:rPr>
          <w:rFonts w:eastAsia="TTA20363E8t00" w:cs="Arial"/>
          <w:b/>
          <w:sz w:val="18"/>
        </w:rPr>
        <w:t>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hotelích a podobných zařízeních, vč. ka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dodenního úklidu (krom</w:t>
      </w:r>
      <w:r w:rsidRPr="00FA7E18">
        <w:rPr>
          <w:rFonts w:eastAsia="TTA20363E8t00" w:cs="Arial" w:hint="eastAsia"/>
          <w:b/>
          <w:sz w:val="18"/>
        </w:rPr>
        <w:t>ě</w:t>
      </w:r>
      <w:r w:rsidRPr="00FA7E18">
        <w:rPr>
          <w:rFonts w:eastAsia="TTA20363E8t00" w:cs="Arial"/>
          <w:b/>
          <w:sz w:val="18"/>
        </w:rPr>
        <w:t> nemovitostí 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 xml:space="preserve">ívaných na </w:t>
      </w:r>
      <w:r w:rsidRPr="00FA7E18">
        <w:rPr>
          <w:rFonts w:eastAsia="TTA20363E8t00" w:cs="Arial" w:hint="eastAsia"/>
          <w:b/>
          <w:sz w:val="18"/>
        </w:rPr>
        <w:t>č</w:t>
      </w:r>
      <w:r w:rsidRPr="00FA7E18">
        <w:rPr>
          <w:rFonts w:eastAsia="TTA20363E8t00" w:cs="Arial"/>
          <w:b/>
          <w:sz w:val="18"/>
        </w:rPr>
        <w:t>asový usek)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ubytovací služby v hotelích (vč. hotelů v letoviscích, lázních, hotelů </w:t>
      </w:r>
      <w:proofErr w:type="spellStart"/>
      <w:r w:rsidRPr="00FA7E18">
        <w:rPr>
          <w:rFonts w:cs="Arial"/>
          <w:sz w:val="18"/>
        </w:rPr>
        <w:t>apartmánového</w:t>
      </w:r>
      <w:proofErr w:type="spellEnd"/>
      <w:r w:rsidRPr="00FA7E18">
        <w:rPr>
          <w:rFonts w:cs="Arial"/>
          <w:sz w:val="18"/>
        </w:rPr>
        <w:t xml:space="preserve"> typu a kongresových hotelů), motelech a podobných zařízeních s každodenním úklidem a jinými službami, obvykle poskytované na dny nebo týdny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v nemovitostech užívaných na časový úsek (</w:t>
      </w:r>
      <w:proofErr w:type="spellStart"/>
      <w:r w:rsidRPr="00FA7E18">
        <w:rPr>
          <w:rFonts w:cs="Arial"/>
          <w:sz w:val="18"/>
        </w:rPr>
        <w:t>time</w:t>
      </w:r>
      <w:proofErr w:type="spellEnd"/>
      <w:r w:rsidRPr="00FA7E18">
        <w:rPr>
          <w:rFonts w:cs="Arial"/>
          <w:sz w:val="18"/>
        </w:rPr>
        <w:t>-</w:t>
      </w:r>
      <w:proofErr w:type="spellStart"/>
      <w:r w:rsidRPr="00FA7E18">
        <w:rPr>
          <w:rFonts w:cs="Arial"/>
          <w:sz w:val="18"/>
        </w:rPr>
        <w:t>share</w:t>
      </w:r>
      <w:proofErr w:type="spellEnd"/>
      <w:r w:rsidRPr="00FA7E18">
        <w:rPr>
          <w:rFonts w:cs="Arial"/>
          <w:sz w:val="18"/>
        </w:rPr>
        <w:t>) poskytované návštěvníkům mimo jejich obvyklé bydliště (55.20.12)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55.2 Rekreační a ostatní krátkodobé ubytovací služby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55.20 Rekreační a ostatní krátkodobé ubytovací služby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55.20.1 Rekreační a ostatní krátkodobé ubytovací služby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55.20.11 </w:t>
      </w:r>
      <w:r w:rsidRPr="00FA7E18">
        <w:rPr>
          <w:rFonts w:eastAsia="TTA20363E8t00" w:cs="Arial"/>
          <w:b/>
          <w:sz w:val="18"/>
        </w:rPr>
        <w:t>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chatách nebo v ubytovnách pro mláde</w:t>
      </w:r>
      <w:r w:rsidRPr="00FA7E18">
        <w:rPr>
          <w:rFonts w:eastAsia="TTA20363E8t00" w:cs="Arial" w:hint="eastAsia"/>
          <w:b/>
          <w:sz w:val="18"/>
        </w:rPr>
        <w:t>ž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ubytovací služby v mládežnických </w:t>
      </w:r>
      <w:proofErr w:type="spellStart"/>
      <w:r w:rsidRPr="00FA7E18">
        <w:rPr>
          <w:rFonts w:cs="Arial"/>
          <w:sz w:val="18"/>
        </w:rPr>
        <w:t>hostelech</w:t>
      </w:r>
      <w:proofErr w:type="spellEnd"/>
      <w:r w:rsidRPr="00FA7E18">
        <w:rPr>
          <w:rFonts w:cs="Arial"/>
          <w:sz w:val="18"/>
        </w:rPr>
        <w:t>, horských chatách a rekreačních chatkách, s velmi omezenými nebo žádnými úklidovými službami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  <w:highlight w:val="green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55.20.12 </w:t>
      </w:r>
      <w:r w:rsidRPr="00FA7E18">
        <w:rPr>
          <w:rFonts w:eastAsia="TTA20363E8t00" w:cs="Arial"/>
          <w:b/>
          <w:sz w:val="18"/>
        </w:rPr>
        <w:t>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nemovitostech 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 xml:space="preserve">ívaných na </w:t>
      </w:r>
      <w:r w:rsidRPr="00FA7E18">
        <w:rPr>
          <w:rFonts w:eastAsia="TTA20363E8t00" w:cs="Arial" w:hint="eastAsia"/>
          <w:b/>
          <w:sz w:val="18"/>
        </w:rPr>
        <w:t>č</w:t>
      </w:r>
      <w:r w:rsidRPr="00FA7E18">
        <w:rPr>
          <w:rFonts w:eastAsia="TTA20363E8t00" w:cs="Arial"/>
          <w:b/>
          <w:sz w:val="18"/>
        </w:rPr>
        <w:t>asový úsek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v nemovitostech užívaných na časový úsek (</w:t>
      </w:r>
      <w:proofErr w:type="spellStart"/>
      <w:r w:rsidRPr="00FA7E18">
        <w:rPr>
          <w:rFonts w:cs="Arial"/>
          <w:sz w:val="18"/>
        </w:rPr>
        <w:t>time</w:t>
      </w:r>
      <w:proofErr w:type="spellEnd"/>
      <w:r w:rsidRPr="00FA7E18">
        <w:rPr>
          <w:rFonts w:cs="Arial"/>
          <w:sz w:val="18"/>
        </w:rPr>
        <w:t>-</w:t>
      </w:r>
      <w:proofErr w:type="spellStart"/>
      <w:r w:rsidRPr="00FA7E18">
        <w:rPr>
          <w:rFonts w:cs="Arial"/>
          <w:sz w:val="18"/>
        </w:rPr>
        <w:t>share</w:t>
      </w:r>
      <w:proofErr w:type="spellEnd"/>
      <w:r w:rsidRPr="00FA7E18">
        <w:rPr>
          <w:rFonts w:cs="Arial"/>
          <w:sz w:val="18"/>
        </w:rPr>
        <w:t>) poskytované návštěvníkům mimo jejich obvyklé bydliště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  <w:highlight w:val="green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55.20.19 </w:t>
      </w:r>
      <w:r w:rsidRPr="00FA7E18">
        <w:rPr>
          <w:rFonts w:eastAsia="TTA20363E8t00" w:cs="Arial"/>
          <w:b/>
          <w:sz w:val="18"/>
        </w:rPr>
        <w:t>Ostatní krátkodobé 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bez ka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dodenního úklidu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např. v domech či bytech pro rekreační ubytování, bungalovech a chalupách obvykle poskytované na dny nebo týdny, s úklidovými službami zajišťovanými méně než jednou denně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55.3 Služby tábořišť a kempů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55.30 Služby tábořišť a kempů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55.30.1 Služby tábořišť a kempů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55.30.11 </w:t>
      </w:r>
      <w:r w:rsidRPr="00FA7E18">
        <w:rPr>
          <w:rFonts w:eastAsia="TTA20363E8t00" w:cs="Arial"/>
          <w:b/>
          <w:sz w:val="18"/>
        </w:rPr>
        <w:t>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tábo</w:t>
      </w:r>
      <w:r w:rsidRPr="00FA7E18">
        <w:rPr>
          <w:rFonts w:eastAsia="TTA20363E8t00" w:cs="Arial" w:hint="eastAsia"/>
          <w:b/>
          <w:sz w:val="18"/>
        </w:rPr>
        <w:t>ř</w:t>
      </w:r>
      <w:r w:rsidRPr="00FA7E18">
        <w:rPr>
          <w:rFonts w:eastAsia="TTA20363E8t00" w:cs="Arial"/>
          <w:b/>
          <w:sz w:val="18"/>
        </w:rPr>
        <w:t>i</w:t>
      </w:r>
      <w:r w:rsidRPr="00FA7E18">
        <w:rPr>
          <w:rFonts w:eastAsia="TTA20363E8t00" w:cs="Arial" w:hint="eastAsia"/>
          <w:b/>
          <w:sz w:val="18"/>
        </w:rPr>
        <w:t>šť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místa pro obytná vozidla nebo stany obvykle na dny nebo týdny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lastRenderedPageBreak/>
        <w:t>ZT: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poskytování místa pro umístění stanů nebo spacích pytlů v ochranných přístřešcích nebo v jednoduchých táborových zařízeních 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ubytovací služby v horských chatách, chatkách a mládežnických </w:t>
      </w:r>
      <w:proofErr w:type="spellStart"/>
      <w:r w:rsidRPr="00FA7E18">
        <w:rPr>
          <w:rFonts w:cs="Arial"/>
          <w:sz w:val="18"/>
        </w:rPr>
        <w:t>hostelech</w:t>
      </w:r>
      <w:proofErr w:type="spellEnd"/>
      <w:r w:rsidRPr="00FA7E18">
        <w:rPr>
          <w:rFonts w:cs="Arial"/>
          <w:sz w:val="18"/>
        </w:rPr>
        <w:t xml:space="preserve"> (55.20.11)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55.30.12 </w:t>
      </w:r>
      <w:r w:rsidRPr="00FA7E18">
        <w:rPr>
          <w:rFonts w:eastAsia="TTA20363E8t00" w:cs="Arial"/>
          <w:b/>
          <w:sz w:val="18"/>
        </w:rPr>
        <w:t>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kemp</w:t>
      </w:r>
      <w:r w:rsidRPr="00FA7E18">
        <w:rPr>
          <w:rFonts w:eastAsia="TTA20363E8t00" w:cs="Arial" w:hint="eastAsia"/>
          <w:b/>
          <w:sz w:val="18"/>
        </w:rPr>
        <w:t>ů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noclehu spojeného se stravováním a rekreačními aktivitami na zlepšení fyzické kondice dospělých, mládeže nebo dětí jako celková nabídka služeb, které jsou účtovány dohromady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ZT: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rekreační nebo prázdninové tábory, které zahrnují sportovní výcvik nebo přípravu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55.9 Ostatní ubytovací služby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55.90 Ostatní ubytovací služby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55.90.1 Ostatní ubytovací služby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55.90.11 </w:t>
      </w:r>
      <w:r w:rsidRPr="00FA7E18">
        <w:rPr>
          <w:rFonts w:eastAsia="TTA20363E8t00" w:cs="Arial"/>
          <w:b/>
          <w:sz w:val="18"/>
        </w:rPr>
        <w:t>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poskytované student</w:t>
      </w:r>
      <w:r w:rsidRPr="00FA7E18">
        <w:rPr>
          <w:rFonts w:eastAsia="TTA20363E8t00" w:cs="Arial" w:hint="eastAsia"/>
          <w:b/>
          <w:sz w:val="18"/>
        </w:rPr>
        <w:t>ů</w:t>
      </w:r>
      <w:r w:rsidRPr="00FA7E18">
        <w:rPr>
          <w:rFonts w:eastAsia="TTA20363E8t00" w:cs="Arial"/>
          <w:b/>
          <w:sz w:val="18"/>
        </w:rPr>
        <w:t>m na kolejích nebo internátech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v internátech a na studentských kolejích, v ubytovacích jednotkách, které jsou při školách a univerzitách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ubytování účastníků konferencí nebo návštěvníků, během prázdnin, ve studentských ubytovnách nebo kolejích (55.20.19)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55.90.12 </w:t>
      </w:r>
      <w:r w:rsidRPr="00FA7E18">
        <w:rPr>
          <w:rFonts w:eastAsia="TTA20363E8t00" w:cs="Arial"/>
          <w:b/>
          <w:sz w:val="18"/>
        </w:rPr>
        <w:t>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poskytované pracovník</w:t>
      </w:r>
      <w:r w:rsidRPr="00FA7E18">
        <w:rPr>
          <w:rFonts w:eastAsia="TTA20363E8t00" w:cs="Arial" w:hint="eastAsia"/>
          <w:b/>
          <w:sz w:val="18"/>
        </w:rPr>
        <w:t>ů</w:t>
      </w:r>
      <w:r w:rsidRPr="00FA7E18">
        <w:rPr>
          <w:rFonts w:eastAsia="TTA20363E8t00" w:cs="Arial"/>
          <w:b/>
          <w:sz w:val="18"/>
        </w:rPr>
        <w:t>m v ubytovnách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obvykle krátkodobého nebo sezónního ubytování pracovníků v dělnických ubytovnách nebo kempech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>55.90.13 Ubytovací a podobné služby v lůžkových a lehátkových vozech a v jiných dopravních prostředcích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55.90.19 </w:t>
      </w:r>
      <w:r w:rsidRPr="00FA7E18">
        <w:rPr>
          <w:rFonts w:eastAsia="TTA20363E8t00" w:cs="Arial"/>
          <w:b/>
          <w:sz w:val="18"/>
        </w:rPr>
        <w:t>Ostatní ubytovací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 xml:space="preserve">by </w:t>
      </w:r>
      <w:proofErr w:type="spellStart"/>
      <w:r w:rsidRPr="00FA7E18">
        <w:rPr>
          <w:rFonts w:eastAsia="TTA20363E8t00" w:cs="Arial"/>
          <w:b/>
          <w:sz w:val="18"/>
        </w:rPr>
        <w:t>j</w:t>
      </w:r>
      <w:proofErr w:type="spellEnd"/>
      <w:r w:rsidRPr="00FA7E18">
        <w:rPr>
          <w:rFonts w:eastAsia="TTA20363E8t00" w:cs="Arial"/>
          <w:b/>
          <w:sz w:val="18"/>
        </w:rPr>
        <w:t>. n.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ubytovací služby v pokojích nebo ubytovacích jednotkách pro dlouhodobé ubytování, v penzionech nebo domovech mládeže a bytových klubech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ubytování v mládežnických </w:t>
      </w:r>
      <w:proofErr w:type="spellStart"/>
      <w:r w:rsidRPr="00FA7E18">
        <w:rPr>
          <w:rFonts w:cs="Arial"/>
          <w:sz w:val="18"/>
        </w:rPr>
        <w:t>hostelech</w:t>
      </w:r>
      <w:proofErr w:type="spellEnd"/>
      <w:r w:rsidRPr="00FA7E18">
        <w:rPr>
          <w:rFonts w:cs="Arial"/>
          <w:sz w:val="18"/>
        </w:rPr>
        <w:t xml:space="preserve"> (55.20.11)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ubytování v internátech a na studentských kolejích (55.90.11)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FA7E18">
        <w:rPr>
          <w:rFonts w:cs="Arial"/>
          <w:b/>
          <w:bCs/>
          <w:i/>
          <w:sz w:val="28"/>
          <w:szCs w:val="26"/>
        </w:rPr>
        <w:br w:type="column"/>
      </w:r>
      <w:r w:rsidRPr="00FA7E18">
        <w:rPr>
          <w:rFonts w:cs="Arial"/>
          <w:b/>
          <w:bCs/>
          <w:i/>
          <w:sz w:val="28"/>
          <w:szCs w:val="26"/>
        </w:rPr>
        <w:lastRenderedPageBreak/>
        <w:t>56 Stravovací služby, podávání nápojů</w:t>
      </w: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56.1 Restaurační a mobilní stravovací služby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56.10 Restaurační a mobilní stravovací služby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 xml:space="preserve">56.10.1 </w:t>
      </w:r>
      <w:r w:rsidRPr="00FA7E18">
        <w:rPr>
          <w:rFonts w:eastAsia="TTA20363E8t00" w:cs="Arial"/>
          <w:b/>
          <w:bCs/>
          <w:szCs w:val="22"/>
        </w:rPr>
        <w:t>Restaurační a mobilní stravovací slu</w:t>
      </w:r>
      <w:r w:rsidRPr="00FA7E18">
        <w:rPr>
          <w:rFonts w:eastAsia="TTA20363E8t00" w:cs="Arial" w:hint="eastAsia"/>
          <w:b/>
          <w:bCs/>
          <w:szCs w:val="22"/>
        </w:rPr>
        <w:t>ž</w:t>
      </w:r>
      <w:r w:rsidRPr="00FA7E18">
        <w:rPr>
          <w:rFonts w:eastAsia="TTA20363E8t00" w:cs="Arial"/>
          <w:b/>
          <w:bCs/>
          <w:szCs w:val="22"/>
        </w:rPr>
        <w:t>by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podávání nápojů bez podávání jídel (56.30.10)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56.10.11 </w:t>
      </w:r>
      <w:r w:rsidRPr="00FA7E18">
        <w:rPr>
          <w:rFonts w:eastAsia="TTA20363E8t00" w:cs="Arial"/>
          <w:b/>
          <w:sz w:val="18"/>
        </w:rPr>
        <w:t>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za</w:t>
      </w:r>
      <w:r w:rsidRPr="00FA7E18">
        <w:rPr>
          <w:rFonts w:eastAsia="TTA20363E8t00" w:cs="Arial" w:hint="eastAsia"/>
          <w:b/>
          <w:sz w:val="18"/>
        </w:rPr>
        <w:t>ř</w:t>
      </w:r>
      <w:r w:rsidRPr="00FA7E18">
        <w:rPr>
          <w:rFonts w:eastAsia="TTA20363E8t00" w:cs="Arial"/>
          <w:b/>
          <w:sz w:val="18"/>
        </w:rPr>
        <w:t>ízeních restaura</w:t>
      </w:r>
      <w:r w:rsidRPr="00FA7E18">
        <w:rPr>
          <w:rFonts w:eastAsia="TTA20363E8t00" w:cs="Arial" w:hint="eastAsia"/>
          <w:b/>
          <w:sz w:val="18"/>
        </w:rPr>
        <w:t>č</w:t>
      </w:r>
      <w:r w:rsidRPr="00FA7E18">
        <w:rPr>
          <w:rFonts w:eastAsia="TTA20363E8t00" w:cs="Arial"/>
          <w:b/>
          <w:sz w:val="18"/>
        </w:rPr>
        <w:t>ního typu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přípravu jídel a souvisejících nápojů v restauracích, kavárnách a podobných stravovacích zařízeních poskytujících obsluhu jednotlivých zákazníků sedících u stolů (vč. pultů nebo boxů) se zábavním programem nebo bez něho</w:t>
      </w:r>
    </w:p>
    <w:p w:rsidR="00FA7E18" w:rsidRPr="00FA7E18" w:rsidRDefault="00FA7E18" w:rsidP="00FA7E18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přípravu jídel a souvisejících nápojů v hotelích nebo jiných ubytovacích zařízeních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Obvykle je poskytována obsluha jednotlivých zákazníků sedících u stolů (vč. pultů nebo boxů).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56.10.12 </w:t>
      </w:r>
      <w:r w:rsidRPr="00FA7E18">
        <w:rPr>
          <w:rFonts w:eastAsia="TTA20363E8t00" w:cs="Arial"/>
          <w:b/>
          <w:sz w:val="18"/>
        </w:rPr>
        <w:t>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elezni</w:t>
      </w:r>
      <w:r w:rsidRPr="00FA7E18">
        <w:rPr>
          <w:rFonts w:eastAsia="TTA20363E8t00" w:cs="Arial" w:hint="eastAsia"/>
          <w:b/>
          <w:sz w:val="18"/>
        </w:rPr>
        <w:t>č</w:t>
      </w:r>
      <w:r w:rsidRPr="00FA7E18">
        <w:rPr>
          <w:rFonts w:eastAsia="TTA20363E8t00" w:cs="Arial"/>
          <w:b/>
          <w:sz w:val="18"/>
        </w:rPr>
        <w:t>ních jídelních vozech nebo na lodích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přípravu jídel a souvisejících nápojů v dopravních prostředcích, např. ve vlacích nebo na palubách lodí</w:t>
      </w:r>
    </w:p>
    <w:p w:rsidR="00FA7E18" w:rsidRPr="00FA7E18" w:rsidRDefault="00FA7E18" w:rsidP="00FA7E18">
      <w:pPr>
        <w:keepNext/>
        <w:spacing w:after="0" w:line="240" w:lineRule="auto"/>
        <w:ind w:left="964"/>
        <w:rPr>
          <w:rFonts w:cs="Arial"/>
          <w:sz w:val="18"/>
        </w:rPr>
      </w:pPr>
      <w:r w:rsidRPr="00FA7E18">
        <w:rPr>
          <w:rFonts w:cs="Arial"/>
          <w:sz w:val="18"/>
        </w:rPr>
        <w:t>Obvykle je poskytována obsluha jednotlivých zákazníků sedících u stolů (vč. pultů nebo boxů).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jídelních vozů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56.10.13 </w:t>
      </w:r>
      <w:r w:rsidRPr="00FA7E18">
        <w:rPr>
          <w:rFonts w:eastAsia="TTA20363E8t00" w:cs="Arial"/>
          <w:b/>
          <w:sz w:val="18"/>
        </w:rPr>
        <w:t>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v samoobslu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ných za</w:t>
      </w:r>
      <w:r w:rsidRPr="00FA7E18">
        <w:rPr>
          <w:rFonts w:eastAsia="TTA20363E8t00" w:cs="Arial" w:hint="eastAsia"/>
          <w:b/>
          <w:sz w:val="18"/>
        </w:rPr>
        <w:t>ř</w:t>
      </w:r>
      <w:r w:rsidRPr="00FA7E18">
        <w:rPr>
          <w:rFonts w:eastAsia="TTA20363E8t00" w:cs="Arial"/>
          <w:b/>
          <w:sz w:val="18"/>
        </w:rPr>
        <w:t>ízeních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servírování jídel ve vymezených a samoobslužných zařízeních poskytujících sezení u stolů, ale bez obsluhy, jako jsou:</w:t>
      </w:r>
    </w:p>
    <w:p w:rsidR="00FA7E18" w:rsidRPr="00FA7E18" w:rsidRDefault="00FA7E18" w:rsidP="00FA7E18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FA7E18">
        <w:rPr>
          <w:rFonts w:cs="Arial"/>
          <w:sz w:val="18"/>
        </w:rPr>
        <w:t>• zařízení rychlého občerstvení se sezením</w:t>
      </w:r>
    </w:p>
    <w:p w:rsidR="00FA7E18" w:rsidRPr="00FA7E18" w:rsidRDefault="00FA7E18" w:rsidP="00FA7E18">
      <w:pPr>
        <w:keepNext/>
        <w:spacing w:after="0" w:line="240" w:lineRule="auto"/>
        <w:ind w:left="1247" w:hanging="113"/>
        <w:rPr>
          <w:rFonts w:cs="Arial"/>
          <w:sz w:val="18"/>
        </w:rPr>
      </w:pPr>
      <w:r w:rsidRPr="00FA7E18">
        <w:rPr>
          <w:rFonts w:cs="Arial"/>
          <w:sz w:val="18"/>
        </w:rPr>
        <w:t>• jídelny</w:t>
      </w:r>
    </w:p>
    <w:p w:rsidR="00FA7E18" w:rsidRPr="00FA7E18" w:rsidRDefault="00FA7E18" w:rsidP="00FA7E18">
      <w:pPr>
        <w:keepNext/>
        <w:spacing w:after="0" w:line="240" w:lineRule="auto"/>
        <w:ind w:left="1247" w:hanging="113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jídel v zařízeních bez obsluhy, která nenabízejí sezení (56.10.19)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závodní stravování v továrnách, úřadech a školní stravování, na základě koncese (56.29.20)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56.10.19 </w:t>
      </w:r>
      <w:r w:rsidRPr="00FA7E18">
        <w:rPr>
          <w:rFonts w:eastAsia="TTA20363E8t00" w:cs="Arial"/>
          <w:b/>
          <w:sz w:val="18"/>
        </w:rPr>
        <w:t>Jiné 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bez obsluhy a mo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nosti sezení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jiného poskytování jídel a souvisejících nápojů ve stáncích, stáncích rychlého občerstvení a zařízeních připravujících jídla pro odnos atd.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podávání zmrzliny a moučníků na vyhrazených místech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jídel a občerstvení prodejními automaty přímo v místech, kde jsou jídla připravována</w:t>
      </w:r>
    </w:p>
    <w:p w:rsidR="00FA7E18" w:rsidRPr="00FA7E18" w:rsidRDefault="00FA7E18" w:rsidP="00FA7E18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mobilní stravovací služby, tj. příprava a poskytování jídel a nápojů k okamžité spotřebě z motorizovaných vozidel nebo nemotorizovaných vozíků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Tyto služby se poskytují bez míst k sezení a bez obsluhy.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jídel a občerstvení, která nejsou připravovaná na místě a jsou prodávaná prostřednictvím prodejních automatů (47.00.1, 47.00.2)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56.2 Cateringové a ostatní stravovací služby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56.21 Cateringové služby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56.21.1 Cateringové služby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56.21.11 </w:t>
      </w:r>
      <w:r w:rsidRPr="00FA7E18">
        <w:rPr>
          <w:rFonts w:eastAsia="TTA20363E8t00" w:cs="Arial"/>
          <w:b/>
          <w:sz w:val="18"/>
        </w:rPr>
        <w:t>Dodávky hotových jídel do domácností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přípravy a dodání jídel na smluvním základě, poskytované soukromým osobám či domácnostem, do místa určení zákazníkem, pro určitou akci</w:t>
      </w:r>
    </w:p>
    <w:p w:rsidR="00FA7E18" w:rsidRPr="00FA7E18" w:rsidRDefault="00FA7E18" w:rsidP="00FA7E18">
      <w:pPr>
        <w:spacing w:after="0" w:line="240" w:lineRule="auto"/>
        <w:rPr>
          <w:rFonts w:cs="Arial"/>
          <w:sz w:val="18"/>
        </w:rPr>
      </w:pPr>
      <w:r w:rsidRPr="00FA7E18">
        <w:rPr>
          <w:rFonts w:cs="Arial"/>
          <w:sz w:val="18"/>
        </w:rPr>
        <w:br w:type="page"/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lastRenderedPageBreak/>
        <w:t xml:space="preserve">56.21.19 </w:t>
      </w:r>
      <w:r w:rsidRPr="00FA7E18">
        <w:rPr>
          <w:rFonts w:eastAsia="TTA20363E8t00" w:cs="Arial"/>
          <w:b/>
          <w:sz w:val="18"/>
        </w:rPr>
        <w:t>Ostatní cateringové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ostatní služby přípravy a dodávky jídel na základě smlouvy se zákazníkem, do prostor nebo lokalit institucionálních, vládních, obchodních, průmyslových, sídelních nebo jiných, určených zákazníkem, pro zvláštní akce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56.29 Ostatní stravovací služby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56.29.1 Stravovací služby poskytované na základě smlouvy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56.29.11 </w:t>
      </w:r>
      <w:r w:rsidRPr="00FA7E18">
        <w:rPr>
          <w:rFonts w:eastAsia="TTA20363E8t00" w:cs="Arial"/>
          <w:b/>
          <w:sz w:val="18"/>
        </w:rPr>
        <w:t>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poskytované na základ</w:t>
      </w:r>
      <w:r w:rsidRPr="00FA7E18">
        <w:rPr>
          <w:rFonts w:eastAsia="TTA20363E8t00" w:cs="Arial" w:hint="eastAsia"/>
          <w:b/>
          <w:sz w:val="18"/>
        </w:rPr>
        <w:t>ě</w:t>
      </w:r>
      <w:r w:rsidRPr="00FA7E18">
        <w:rPr>
          <w:rFonts w:eastAsia="TTA20363E8t00" w:cs="Arial"/>
          <w:b/>
          <w:sz w:val="18"/>
        </w:rPr>
        <w:t xml:space="preserve"> smlouvy dopravc</w:t>
      </w:r>
      <w:r w:rsidRPr="00FA7E18">
        <w:rPr>
          <w:rFonts w:eastAsia="TTA20363E8t00" w:cs="Arial" w:hint="eastAsia"/>
          <w:b/>
          <w:sz w:val="18"/>
        </w:rPr>
        <w:t>ů</w:t>
      </w:r>
      <w:r w:rsidRPr="00FA7E18">
        <w:rPr>
          <w:rFonts w:eastAsia="TTA20363E8t00" w:cs="Arial"/>
          <w:b/>
          <w:sz w:val="18"/>
        </w:rPr>
        <w:t>m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přípravu a dodávku jídel na smluvním základě pro letecké společnosti a jiné dopravní společnosti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56.29.19 </w:t>
      </w:r>
      <w:r w:rsidRPr="00FA7E18">
        <w:rPr>
          <w:rFonts w:eastAsia="TTA20363E8t00" w:cs="Arial"/>
          <w:b/>
          <w:sz w:val="18"/>
        </w:rPr>
        <w:t>Ostatní stravovací 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>by poskytované na základ</w:t>
      </w:r>
      <w:r w:rsidRPr="00FA7E18">
        <w:rPr>
          <w:rFonts w:eastAsia="TTA20363E8t00" w:cs="Arial" w:hint="eastAsia"/>
          <w:b/>
          <w:sz w:val="18"/>
        </w:rPr>
        <w:t>ě</w:t>
      </w:r>
      <w:r w:rsidRPr="00FA7E18">
        <w:rPr>
          <w:rFonts w:eastAsia="TTA20363E8t00" w:cs="Arial"/>
          <w:b/>
          <w:sz w:val="18"/>
        </w:rPr>
        <w:t xml:space="preserve"> smlouvy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přípravu a dodávku jídel na smluvním základě pro zákazníky na určitou dobu, např. služby stravování na základě koncese pro sportovní akce a podobné příležitosti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jídelen (56.29.20)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56.29.2 Služby závodních, školních a podobných jídelen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56.29.20 </w:t>
      </w:r>
      <w:r w:rsidRPr="00FA7E18">
        <w:rPr>
          <w:rFonts w:eastAsia="TTA20363E8t00" w:cs="Arial"/>
          <w:b/>
          <w:sz w:val="18"/>
        </w:rPr>
        <w:t>Slu</w:t>
      </w:r>
      <w:r w:rsidRPr="00FA7E18">
        <w:rPr>
          <w:rFonts w:eastAsia="TTA20363E8t00" w:cs="Arial" w:hint="eastAsia"/>
          <w:b/>
          <w:sz w:val="18"/>
        </w:rPr>
        <w:t>ž</w:t>
      </w:r>
      <w:r w:rsidRPr="00FA7E18">
        <w:rPr>
          <w:rFonts w:eastAsia="TTA20363E8t00" w:cs="Arial"/>
          <w:b/>
          <w:sz w:val="18"/>
        </w:rPr>
        <w:t xml:space="preserve">by závodních, </w:t>
      </w:r>
      <w:r w:rsidRPr="00FA7E18">
        <w:rPr>
          <w:rFonts w:eastAsia="TTA20363E8t00" w:cs="Arial" w:hint="eastAsia"/>
          <w:b/>
          <w:sz w:val="18"/>
        </w:rPr>
        <w:t>š</w:t>
      </w:r>
      <w:r w:rsidRPr="00FA7E18">
        <w:rPr>
          <w:rFonts w:eastAsia="TTA20363E8t00" w:cs="Arial"/>
          <w:b/>
          <w:sz w:val="18"/>
        </w:rPr>
        <w:t>kolních a podobných jídelen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stravovací služby na základě koncese, tj. poskytování provozních služeb provozovateli stravovacích zařízení, jako jsou jídelny a bufety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Poskytování jídel a nápojů obvykle je za sníženou cenu pro skupiny osob splňujících jasné podmínky, které jsou obvykle svázány s odbornou povahou, jako jsou zařízení (jídelny, kuchyně, menzy) na sportovištích, v továrnách, úřadech, školách, univerzitách, také jídelny a kantýny pro členy ozbrojených sil atd.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FA7E18" w:rsidRPr="00FA7E18" w:rsidRDefault="00FA7E18" w:rsidP="00FA7E18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FA7E18">
        <w:rPr>
          <w:rFonts w:cs="Arial"/>
          <w:b/>
          <w:bCs/>
          <w:sz w:val="24"/>
          <w:szCs w:val="28"/>
        </w:rPr>
        <w:t>56.3 Služby podávání nápojů</w:t>
      </w:r>
    </w:p>
    <w:p w:rsidR="00FA7E18" w:rsidRPr="00FA7E18" w:rsidRDefault="00FA7E18" w:rsidP="00FA7E18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FA7E18">
        <w:rPr>
          <w:rFonts w:cs="Arial"/>
          <w:b/>
          <w:bCs/>
          <w:iCs/>
          <w:sz w:val="22"/>
          <w:szCs w:val="26"/>
        </w:rPr>
        <w:t>56.30 Služby podávání nápojů</w:t>
      </w:r>
    </w:p>
    <w:p w:rsidR="00FA7E18" w:rsidRPr="00FA7E18" w:rsidRDefault="00FA7E18" w:rsidP="00FA7E18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FA7E18">
        <w:rPr>
          <w:rFonts w:cs="Arial"/>
          <w:b/>
          <w:bCs/>
          <w:szCs w:val="22"/>
        </w:rPr>
        <w:t>56.30.1 Služby podávání nápojů</w:t>
      </w:r>
    </w:p>
    <w:p w:rsidR="00FA7E18" w:rsidRPr="00FA7E18" w:rsidRDefault="00FA7E18" w:rsidP="00FA7E18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FA7E18">
        <w:rPr>
          <w:rFonts w:cs="Arial"/>
          <w:b/>
          <w:sz w:val="18"/>
        </w:rPr>
        <w:t xml:space="preserve">56.30.10 </w:t>
      </w:r>
      <w:r w:rsidRPr="00FA7E18">
        <w:rPr>
          <w:rFonts w:eastAsia="TTA20363E8t00" w:cs="Arial"/>
          <w:b/>
          <w:sz w:val="18"/>
        </w:rPr>
        <w:t>Služby podávání nápojů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Z:</w:t>
      </w:r>
    </w:p>
    <w:p w:rsidR="00FA7E18" w:rsidRPr="00FA7E18" w:rsidRDefault="00FA7E18" w:rsidP="00FA7E18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podávání nápojů, většinou alkoholických, v barech, pivnicích, nočních klubech, diskotékách a podobných zařízeních se zábavním programem nebo bez něj</w:t>
      </w:r>
    </w:p>
    <w:p w:rsidR="00FA7E18" w:rsidRPr="00FA7E18" w:rsidRDefault="00FA7E18" w:rsidP="00FA7E18">
      <w:pPr>
        <w:keepNext/>
        <w:spacing w:after="0" w:line="240" w:lineRule="auto"/>
        <w:ind w:left="964"/>
        <w:rPr>
          <w:rFonts w:cs="Arial"/>
          <w:sz w:val="18"/>
        </w:rPr>
      </w:pPr>
      <w:r w:rsidRPr="00FA7E18">
        <w:rPr>
          <w:rFonts w:cs="Arial"/>
          <w:sz w:val="18"/>
        </w:rPr>
        <w:t>Zahrnuty jsou rovněž služby podávání nápojů v barech hotelů nebo jiných ubytovacích zařízení, dopravních prostředků, např. vlaků nebo palub lodí.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ZT: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- přípravu a podávání nápojů v mobilních stáncích či mobilních zařízeních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 xml:space="preserve">- přípravu a podávání ovocných šťáv v barech 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- přípravu a podávání nápojů v kavárnách</w:t>
      </w: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</w:p>
    <w:p w:rsidR="00FA7E18" w:rsidRPr="00FA7E18" w:rsidRDefault="00FA7E18" w:rsidP="00FA7E18">
      <w:pPr>
        <w:keepNext/>
        <w:spacing w:after="0" w:line="240" w:lineRule="auto"/>
        <w:ind w:left="850"/>
        <w:rPr>
          <w:rFonts w:cs="Arial"/>
          <w:sz w:val="18"/>
        </w:rPr>
      </w:pPr>
      <w:r w:rsidRPr="00FA7E18">
        <w:rPr>
          <w:rFonts w:cs="Arial"/>
          <w:sz w:val="18"/>
        </w:rPr>
        <w:t>N: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prodej nakoupených balených nápojů (47.00.25, 47.00.26)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maloobchodní prodej nápojů v prodejních automatech (47.00.26)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služby podávání jídla vč. nápojů (56.10.1)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poskytování jídla, občerstvení a nápojů prostřednictvím automatů (47.00.1, 47.00.2)</w:t>
      </w:r>
    </w:p>
    <w:p w:rsidR="00FA7E18" w:rsidRPr="00FA7E18" w:rsidRDefault="00FA7E18" w:rsidP="00FA7E18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FA7E18">
        <w:rPr>
          <w:rFonts w:cs="Arial"/>
          <w:sz w:val="18"/>
        </w:rPr>
        <w:t>- provozování diskoték a tanečních parketů bez podávání nápojů (93.29.19)</w:t>
      </w:r>
    </w:p>
    <w:p w:rsidR="00FA7E18" w:rsidRPr="00FA7E18" w:rsidRDefault="00FA7E18" w:rsidP="00FA7E18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8763B8" w:rsidRPr="00FA7E18" w:rsidRDefault="008763B8" w:rsidP="00FA7E18"/>
    <w:sectPr w:rsidR="008763B8" w:rsidRPr="00FA7E18" w:rsidSect="00DA4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56" w:rsidRDefault="00370056" w:rsidP="00DA41DC">
      <w:pPr>
        <w:spacing w:after="0" w:line="240" w:lineRule="auto"/>
      </w:pPr>
      <w:r>
        <w:separator/>
      </w:r>
    </w:p>
  </w:endnote>
  <w:endnote w:type="continuationSeparator" w:id="0">
    <w:p w:rsidR="00370056" w:rsidRDefault="00370056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TA20363E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56" w:rsidRDefault="00370056" w:rsidP="00DA41DC">
      <w:pPr>
        <w:spacing w:after="0" w:line="240" w:lineRule="auto"/>
      </w:pPr>
      <w:r>
        <w:separator/>
      </w:r>
    </w:p>
  </w:footnote>
  <w:footnote w:type="continuationSeparator" w:id="0">
    <w:p w:rsidR="00370056" w:rsidRDefault="00370056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0454C8"/>
    <w:rsid w:val="00053A43"/>
    <w:rsid w:val="00191B0F"/>
    <w:rsid w:val="001D34FC"/>
    <w:rsid w:val="00370056"/>
    <w:rsid w:val="003A5D01"/>
    <w:rsid w:val="00481325"/>
    <w:rsid w:val="0049299F"/>
    <w:rsid w:val="0056545F"/>
    <w:rsid w:val="005A7277"/>
    <w:rsid w:val="005D7276"/>
    <w:rsid w:val="00606B6B"/>
    <w:rsid w:val="006B4685"/>
    <w:rsid w:val="00826020"/>
    <w:rsid w:val="008763B8"/>
    <w:rsid w:val="008A26EC"/>
    <w:rsid w:val="008F0C49"/>
    <w:rsid w:val="00AA4CD3"/>
    <w:rsid w:val="00B04216"/>
    <w:rsid w:val="00C03AB9"/>
    <w:rsid w:val="00CE6398"/>
    <w:rsid w:val="00D02415"/>
    <w:rsid w:val="00DA41DC"/>
    <w:rsid w:val="00DB5A6D"/>
    <w:rsid w:val="00DC11BD"/>
    <w:rsid w:val="00F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7112</Characters>
  <Application>Microsoft Office Word</Application>
  <DocSecurity>0</DocSecurity>
  <Lines>59</Lines>
  <Paragraphs>16</Paragraphs>
  <ScaleCrop>false</ScaleCrop>
  <Company>ČSÚ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3</cp:revision>
  <dcterms:created xsi:type="dcterms:W3CDTF">2017-11-14T15:11:00Z</dcterms:created>
  <dcterms:modified xsi:type="dcterms:W3CDTF">2017-11-14T15:11:00Z</dcterms:modified>
</cp:coreProperties>
</file>