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42" w:rsidRDefault="00DB7E42" w:rsidP="00287768">
      <w:pPr>
        <w:pStyle w:val="Nadpis2"/>
      </w:pPr>
    </w:p>
    <w:p w:rsidR="00287768" w:rsidRDefault="00701300" w:rsidP="00287768">
      <w:pPr>
        <w:pStyle w:val="Nadpis2"/>
      </w:pPr>
      <w:r>
        <w:t>6</w:t>
      </w:r>
      <w:r w:rsidR="00287768">
        <w:t xml:space="preserve">. </w:t>
      </w:r>
      <w:r w:rsidR="0004599B">
        <w:t xml:space="preserve">Zařízení </w:t>
      </w:r>
      <w:r w:rsidR="00C05C38">
        <w:t>s</w:t>
      </w:r>
      <w:r w:rsidR="00287768">
        <w:t>ociální</w:t>
      </w:r>
      <w:r w:rsidR="0004599B">
        <w:t>ch</w:t>
      </w:r>
      <w:r w:rsidR="00287768">
        <w:t xml:space="preserve"> služ</w:t>
      </w:r>
      <w:r w:rsidR="0004599B">
        <w:t>e</w:t>
      </w:r>
      <w:r w:rsidR="00287768">
        <w:t>b</w:t>
      </w:r>
    </w:p>
    <w:p w:rsidR="00287768" w:rsidRDefault="00287768" w:rsidP="00287768">
      <w:pPr>
        <w:spacing w:line="240" w:lineRule="auto"/>
        <w:ind w:firstLine="709"/>
        <w:jc w:val="both"/>
        <w:rPr>
          <w:rFonts w:cs="Arial"/>
          <w:szCs w:val="20"/>
        </w:rPr>
      </w:pPr>
    </w:p>
    <w:p w:rsidR="00287768" w:rsidRDefault="00287768" w:rsidP="00677BD1">
      <w:pPr>
        <w:spacing w:line="240" w:lineRule="auto"/>
        <w:ind w:firstLine="709"/>
        <w:jc w:val="both"/>
        <w:rPr>
          <w:rFonts w:cs="Arial"/>
          <w:szCs w:val="20"/>
        </w:rPr>
      </w:pPr>
      <w:r>
        <w:rPr>
          <w:rFonts w:cs="Arial"/>
          <w:szCs w:val="20"/>
        </w:rPr>
        <w:t xml:space="preserve">Hlavním smyslem sociálních služeb je zajištění pomoci při péči o vlastní osobu, zajištění stravování, ubytování, pomoci při zabezpečení chodu domácnosti, ošetřování, pomoc s výchovou, poradenství, zprostředkování kontaktu se společenským prostředím, psycho- a socioterapie a pomoc při prosazování práv a zájmů. Z hlediska uživatelů sociálních služeb se zejména jedná o rozvoj nebo alespoň zachování stávající soběstačnosti, návrat do vlastního domácího prostředí, obnovení nebo zachování původního životního stylu, dále rozvoj schopností a umožnění vést samostatný život, snížení sociálních a zdravotních rizik souvisejících se způsobem života uživatele. </w:t>
      </w:r>
    </w:p>
    <w:p w:rsidR="00287768" w:rsidRPr="0061392F" w:rsidRDefault="00287768" w:rsidP="00677BD1">
      <w:pPr>
        <w:pStyle w:val="Zkladntext"/>
        <w:ind w:firstLine="709"/>
        <w:rPr>
          <w:rFonts w:ascii="Arial" w:hAnsi="Arial" w:cs="Arial"/>
          <w:sz w:val="20"/>
        </w:rPr>
      </w:pPr>
    </w:p>
    <w:p w:rsidR="0061392F" w:rsidRDefault="00E12556" w:rsidP="00336F1A">
      <w:pPr>
        <w:pStyle w:val="Zkladntext"/>
        <w:ind w:firstLine="709"/>
        <w:rPr>
          <w:rFonts w:ascii="Arial" w:hAnsi="Arial" w:cs="Arial"/>
          <w:sz w:val="20"/>
        </w:rPr>
      </w:pPr>
      <w:r w:rsidRPr="00336F1A">
        <w:rPr>
          <w:rFonts w:ascii="Arial" w:hAnsi="Arial" w:cs="Arial"/>
          <w:sz w:val="20"/>
        </w:rPr>
        <w:t>Z</w:t>
      </w:r>
      <w:r w:rsidR="00287768" w:rsidRPr="00336F1A">
        <w:rPr>
          <w:rFonts w:ascii="Arial" w:hAnsi="Arial" w:cs="Arial"/>
          <w:sz w:val="20"/>
        </w:rPr>
        <w:t>ásadní změny v oblasti sociálních služeb přinesl zákon č. 108/2006 Sb., o sociálních službách ve znění pozdějších předpisů účinný od 1. ledna 2007. Jeho cílem je zajištění pomoci osobám v nepříznivé sociální situaci prostřednictvím nově definovaného spektra sociálních služeb. Pomocí se rozumí takové činnosti, které jsou nezbytné pro sociální začlenění osob a důstojné podmínky života odpovídající úrovni rozvoje společnosti</w:t>
      </w:r>
      <w:r w:rsidR="00336F1A" w:rsidRPr="00336F1A">
        <w:rPr>
          <w:rFonts w:ascii="Arial" w:hAnsi="Arial" w:cs="Arial"/>
          <w:sz w:val="20"/>
        </w:rPr>
        <w:t xml:space="preserve">. Obsah základních činností u jednotlivých druhů sociálních služeb stanoví příslušný prováděcí předpis. </w:t>
      </w:r>
    </w:p>
    <w:p w:rsidR="0061392F" w:rsidRDefault="0061392F" w:rsidP="00336F1A">
      <w:pPr>
        <w:pStyle w:val="Zkladntext"/>
        <w:ind w:firstLine="709"/>
        <w:rPr>
          <w:rFonts w:ascii="Arial" w:hAnsi="Arial" w:cs="Arial"/>
          <w:sz w:val="20"/>
        </w:rPr>
      </w:pPr>
    </w:p>
    <w:p w:rsidR="00287768" w:rsidRPr="00336F1A" w:rsidRDefault="00336F1A" w:rsidP="00336F1A">
      <w:pPr>
        <w:pStyle w:val="Zkladntext"/>
        <w:ind w:firstLine="709"/>
        <w:rPr>
          <w:rFonts w:ascii="Arial" w:hAnsi="Arial" w:cs="Arial"/>
          <w:sz w:val="20"/>
        </w:rPr>
      </w:pPr>
      <w:r w:rsidRPr="00336F1A">
        <w:rPr>
          <w:rFonts w:ascii="Arial" w:hAnsi="Arial" w:cs="Arial"/>
          <w:sz w:val="20"/>
        </w:rPr>
        <w:t>Na základě z</w:t>
      </w:r>
      <w:r w:rsidR="00287768" w:rsidRPr="00336F1A">
        <w:rPr>
          <w:rFonts w:ascii="Arial" w:hAnsi="Arial" w:cs="Arial"/>
          <w:sz w:val="20"/>
        </w:rPr>
        <w:t>ákon</w:t>
      </w:r>
      <w:r w:rsidRPr="00336F1A">
        <w:rPr>
          <w:rFonts w:ascii="Arial" w:hAnsi="Arial" w:cs="Arial"/>
          <w:sz w:val="20"/>
        </w:rPr>
        <w:t>a</w:t>
      </w:r>
      <w:r w:rsidR="00E12556" w:rsidRPr="00336F1A">
        <w:rPr>
          <w:rFonts w:ascii="Arial" w:hAnsi="Arial" w:cs="Arial"/>
          <w:sz w:val="20"/>
        </w:rPr>
        <w:t xml:space="preserve"> č. 108/2006 Sb., o sociálních službách </w:t>
      </w:r>
      <w:r w:rsidRPr="00336F1A">
        <w:rPr>
          <w:rFonts w:ascii="Arial" w:hAnsi="Arial" w:cs="Arial"/>
          <w:sz w:val="20"/>
        </w:rPr>
        <w:t xml:space="preserve">byl </w:t>
      </w:r>
      <w:r w:rsidR="0061392F">
        <w:rPr>
          <w:rFonts w:ascii="Arial" w:hAnsi="Arial" w:cs="Arial"/>
          <w:sz w:val="20"/>
        </w:rPr>
        <w:t xml:space="preserve">také </w:t>
      </w:r>
      <w:r w:rsidRPr="00336F1A">
        <w:rPr>
          <w:rFonts w:ascii="Arial" w:hAnsi="Arial" w:cs="Arial"/>
          <w:sz w:val="20"/>
        </w:rPr>
        <w:t>nově zřízen</w:t>
      </w:r>
      <w:r w:rsidR="00287768" w:rsidRPr="00336F1A">
        <w:rPr>
          <w:rFonts w:ascii="Arial" w:hAnsi="Arial" w:cs="Arial"/>
          <w:sz w:val="20"/>
        </w:rPr>
        <w:t xml:space="preserve"> </w:t>
      </w:r>
      <w:r w:rsidR="00287768" w:rsidRPr="00336F1A">
        <w:rPr>
          <w:rFonts w:ascii="Arial" w:hAnsi="Arial" w:cs="Arial"/>
          <w:b/>
          <w:sz w:val="20"/>
        </w:rPr>
        <w:t>registr poskytovatelů sociálních služeb</w:t>
      </w:r>
      <w:r>
        <w:rPr>
          <w:rFonts w:ascii="Arial" w:hAnsi="Arial" w:cs="Arial"/>
          <w:b/>
          <w:sz w:val="20"/>
        </w:rPr>
        <w:t xml:space="preserve"> </w:t>
      </w:r>
      <w:r w:rsidRPr="006069BC">
        <w:rPr>
          <w:rFonts w:ascii="Arial" w:hAnsi="Arial" w:cs="Arial"/>
          <w:sz w:val="20"/>
        </w:rPr>
        <w:t>(</w:t>
      </w:r>
      <w:r w:rsidRPr="00336F1A">
        <w:rPr>
          <w:rFonts w:ascii="Arial" w:hAnsi="Arial" w:cs="Arial"/>
          <w:sz w:val="20"/>
        </w:rPr>
        <w:t xml:space="preserve">dostupný na </w:t>
      </w:r>
      <w:hyperlink r:id="rId9" w:history="1">
        <w:r w:rsidRPr="00336F1A">
          <w:rPr>
            <w:rStyle w:val="Hypertextovodkaz"/>
            <w:rFonts w:ascii="Arial" w:hAnsi="Arial" w:cs="Arial"/>
            <w:sz w:val="20"/>
          </w:rPr>
          <w:t>http://iregistr.mpsv.cz/socreg</w:t>
        </w:r>
      </w:hyperlink>
      <w:r>
        <w:rPr>
          <w:rFonts w:ascii="Arial" w:hAnsi="Arial" w:cs="Arial"/>
          <w:sz w:val="20"/>
        </w:rPr>
        <w:t>)</w:t>
      </w:r>
      <w:r w:rsidR="00886630" w:rsidRPr="00336F1A">
        <w:rPr>
          <w:rFonts w:ascii="Arial" w:hAnsi="Arial" w:cs="Arial"/>
          <w:sz w:val="20"/>
        </w:rPr>
        <w:t>, který</w:t>
      </w:r>
      <w:r w:rsidR="00287768" w:rsidRPr="00336F1A">
        <w:rPr>
          <w:rFonts w:ascii="Arial" w:hAnsi="Arial" w:cs="Arial"/>
          <w:sz w:val="20"/>
        </w:rPr>
        <w:t xml:space="preserve"> je základním předpokladem k získání přehledu o rozsahu a charakteru sítě sociálních služeb. Pro poskytovatele je zařazení do registru podmínkou k poskytování sociálních služeb a jedním z předpokladů pro čerpání finančních prostředků z veřejných rozpočtů.</w:t>
      </w:r>
    </w:p>
    <w:p w:rsidR="00E44CED" w:rsidRDefault="00E44CED" w:rsidP="00E44CED">
      <w:pPr>
        <w:pStyle w:val="Zkladntext"/>
        <w:ind w:firstLine="709"/>
        <w:rPr>
          <w:rFonts w:ascii="Arial" w:hAnsi="Arial" w:cs="Arial"/>
          <w:sz w:val="20"/>
        </w:rPr>
      </w:pPr>
    </w:p>
    <w:p w:rsidR="00E44CED" w:rsidRDefault="00E44CED" w:rsidP="00E44CED">
      <w:pPr>
        <w:pStyle w:val="Zkladntext"/>
        <w:ind w:firstLine="709"/>
        <w:rPr>
          <w:rFonts w:ascii="Arial" w:hAnsi="Arial" w:cs="Arial"/>
          <w:sz w:val="20"/>
        </w:rPr>
      </w:pPr>
      <w:r>
        <w:rPr>
          <w:rFonts w:ascii="Arial" w:hAnsi="Arial" w:cs="Arial"/>
          <w:sz w:val="20"/>
        </w:rPr>
        <w:t>V zákoně je rovněž uvedeno, že sociální služby se poskytují jako služby pobytové, ambulantní nebo terénní</w:t>
      </w:r>
      <w:r w:rsidR="00CA7812">
        <w:rPr>
          <w:rFonts w:ascii="Arial" w:hAnsi="Arial" w:cs="Arial"/>
          <w:sz w:val="20"/>
        </w:rPr>
        <w:t xml:space="preserve"> a jsou vyjmenované druhy zařízení sociálních služeb</w:t>
      </w:r>
      <w:r>
        <w:rPr>
          <w:rFonts w:ascii="Arial" w:hAnsi="Arial" w:cs="Arial"/>
          <w:sz w:val="20"/>
        </w:rPr>
        <w:t xml:space="preserve">. Tato kapitola se zabývá </w:t>
      </w:r>
      <w:r w:rsidR="00CA7812">
        <w:rPr>
          <w:rFonts w:ascii="Arial" w:hAnsi="Arial" w:cs="Arial"/>
          <w:sz w:val="20"/>
        </w:rPr>
        <w:t>zařízeními</w:t>
      </w:r>
      <w:r w:rsidR="009A3E64">
        <w:rPr>
          <w:rFonts w:ascii="Arial" w:hAnsi="Arial" w:cs="Arial"/>
          <w:sz w:val="20"/>
        </w:rPr>
        <w:t xml:space="preserve"> </w:t>
      </w:r>
      <w:r>
        <w:rPr>
          <w:rFonts w:ascii="Arial" w:hAnsi="Arial" w:cs="Arial"/>
          <w:sz w:val="20"/>
        </w:rPr>
        <w:t xml:space="preserve">sociálních služeb, </w:t>
      </w:r>
      <w:r w:rsidR="00CA7812">
        <w:rPr>
          <w:rFonts w:ascii="Arial" w:hAnsi="Arial" w:cs="Arial"/>
          <w:sz w:val="20"/>
        </w:rPr>
        <w:t xml:space="preserve">vybranými druhy </w:t>
      </w:r>
      <w:r w:rsidR="009A3E64">
        <w:rPr>
          <w:rFonts w:ascii="Arial" w:hAnsi="Arial" w:cs="Arial"/>
          <w:sz w:val="20"/>
        </w:rPr>
        <w:t>ambulantní</w:t>
      </w:r>
      <w:r w:rsidR="00CA7812">
        <w:rPr>
          <w:rFonts w:ascii="Arial" w:hAnsi="Arial" w:cs="Arial"/>
          <w:sz w:val="20"/>
        </w:rPr>
        <w:t>ch</w:t>
      </w:r>
      <w:r w:rsidR="009A3E64">
        <w:rPr>
          <w:rFonts w:ascii="Arial" w:hAnsi="Arial" w:cs="Arial"/>
          <w:sz w:val="20"/>
        </w:rPr>
        <w:t xml:space="preserve"> a terénní</w:t>
      </w:r>
      <w:r w:rsidR="00CA7812">
        <w:rPr>
          <w:rFonts w:ascii="Arial" w:hAnsi="Arial" w:cs="Arial"/>
          <w:sz w:val="20"/>
        </w:rPr>
        <w:t xml:space="preserve">ch </w:t>
      </w:r>
      <w:r>
        <w:rPr>
          <w:rFonts w:ascii="Arial" w:hAnsi="Arial" w:cs="Arial"/>
          <w:sz w:val="20"/>
        </w:rPr>
        <w:t>služ</w:t>
      </w:r>
      <w:r w:rsidR="00CA7812">
        <w:rPr>
          <w:rFonts w:ascii="Arial" w:hAnsi="Arial" w:cs="Arial"/>
          <w:sz w:val="20"/>
        </w:rPr>
        <w:t>e</w:t>
      </w:r>
      <w:r>
        <w:rPr>
          <w:rFonts w:ascii="Arial" w:hAnsi="Arial" w:cs="Arial"/>
          <w:sz w:val="20"/>
        </w:rPr>
        <w:t xml:space="preserve">b pak kapitola </w:t>
      </w:r>
      <w:r w:rsidR="00CA7812">
        <w:rPr>
          <w:rFonts w:ascii="Arial" w:hAnsi="Arial" w:cs="Arial"/>
          <w:sz w:val="20"/>
        </w:rPr>
        <w:t>předcházející</w:t>
      </w:r>
      <w:r>
        <w:rPr>
          <w:rFonts w:ascii="Arial" w:hAnsi="Arial" w:cs="Arial"/>
          <w:sz w:val="20"/>
        </w:rPr>
        <w:t>.</w:t>
      </w:r>
    </w:p>
    <w:p w:rsidR="00E12556" w:rsidRDefault="00E12556" w:rsidP="009E488E">
      <w:pPr>
        <w:jc w:val="both"/>
        <w:rPr>
          <w:rFonts w:cs="Arial"/>
          <w:b/>
        </w:rPr>
      </w:pPr>
    </w:p>
    <w:p w:rsidR="00D42AF4" w:rsidRDefault="00CA7812" w:rsidP="00941AA1">
      <w:pPr>
        <w:pStyle w:val="Nadpis3"/>
      </w:pPr>
      <w:r>
        <w:t xml:space="preserve">Zařízení </w:t>
      </w:r>
      <w:r w:rsidR="00941AA1" w:rsidRPr="00941AA1">
        <w:t>sociální</w:t>
      </w:r>
      <w:r>
        <w:t>ch</w:t>
      </w:r>
      <w:r w:rsidR="00941AA1" w:rsidRPr="00941AA1">
        <w:t xml:space="preserve"> služ</w:t>
      </w:r>
      <w:r>
        <w:t>e</w:t>
      </w:r>
      <w:r w:rsidR="00941AA1" w:rsidRPr="00941AA1">
        <w:t>b</w:t>
      </w:r>
      <w:r w:rsidR="00941AA1">
        <w:t xml:space="preserve"> v roce 2015</w:t>
      </w:r>
    </w:p>
    <w:p w:rsidR="00941AA1" w:rsidRDefault="00941AA1" w:rsidP="00941AA1">
      <w:pPr>
        <w:spacing w:line="240" w:lineRule="auto"/>
        <w:ind w:firstLine="709"/>
        <w:jc w:val="both"/>
        <w:rPr>
          <w:rFonts w:cs="Arial"/>
          <w:szCs w:val="20"/>
        </w:rPr>
      </w:pPr>
    </w:p>
    <w:p w:rsidR="00D42AF4" w:rsidRPr="00EE1262" w:rsidRDefault="00EE1262" w:rsidP="00941AA1">
      <w:pPr>
        <w:spacing w:line="240" w:lineRule="auto"/>
        <w:ind w:firstLine="709"/>
        <w:jc w:val="both"/>
        <w:rPr>
          <w:rFonts w:cs="Arial"/>
          <w:szCs w:val="20"/>
        </w:rPr>
      </w:pPr>
      <w:r>
        <w:rPr>
          <w:rFonts w:cs="Arial"/>
          <w:szCs w:val="20"/>
        </w:rPr>
        <w:t xml:space="preserve">Nejvyšší částky na zařízení sociálních služeb jsou vydávány </w:t>
      </w:r>
      <w:r w:rsidR="003F52E4">
        <w:rPr>
          <w:rFonts w:cs="Arial"/>
          <w:szCs w:val="20"/>
        </w:rPr>
        <w:t xml:space="preserve">na domovy pro seniory, které jsou </w:t>
      </w:r>
      <w:r w:rsidR="00B97774">
        <w:rPr>
          <w:rFonts w:cs="Arial"/>
          <w:szCs w:val="20"/>
        </w:rPr>
        <w:t>i </w:t>
      </w:r>
      <w:r w:rsidR="003F52E4">
        <w:rPr>
          <w:rFonts w:cs="Arial"/>
          <w:szCs w:val="20"/>
        </w:rPr>
        <w:t xml:space="preserve">nejčastějším druhem pobytových sociálních služeb a svou kapacitou představují téměř polovinu </w:t>
      </w:r>
      <w:r w:rsidR="008051FD">
        <w:rPr>
          <w:rFonts w:cs="Arial"/>
          <w:szCs w:val="20"/>
        </w:rPr>
        <w:t xml:space="preserve">jejich </w:t>
      </w:r>
      <w:r w:rsidR="003F52E4">
        <w:rPr>
          <w:rFonts w:cs="Arial"/>
          <w:szCs w:val="20"/>
        </w:rPr>
        <w:t xml:space="preserve">lůžkového fondu. Výdaje na domovy pro seniory se každoročně zvyšují, přestože počty lůžek i klientů </w:t>
      </w:r>
      <w:r w:rsidR="00B97774">
        <w:rPr>
          <w:rFonts w:cs="Arial"/>
          <w:szCs w:val="20"/>
        </w:rPr>
        <w:t xml:space="preserve">se příliš nemění a </w:t>
      </w:r>
      <w:r w:rsidR="003F52E4">
        <w:rPr>
          <w:rFonts w:cs="Arial"/>
          <w:szCs w:val="20"/>
        </w:rPr>
        <w:t>zůstávají na relativně stabilní úrovni</w:t>
      </w:r>
      <w:r w:rsidR="00B97774">
        <w:rPr>
          <w:rFonts w:cs="Arial"/>
          <w:szCs w:val="20"/>
        </w:rPr>
        <w:t>. V</w:t>
      </w:r>
      <w:r w:rsidR="003F52E4">
        <w:rPr>
          <w:rFonts w:cs="Arial"/>
          <w:szCs w:val="20"/>
        </w:rPr>
        <w:t xml:space="preserve"> roce 2015 přesáhly </w:t>
      </w:r>
      <w:r w:rsidR="00B97774">
        <w:rPr>
          <w:rFonts w:cs="Arial"/>
          <w:szCs w:val="20"/>
        </w:rPr>
        <w:t xml:space="preserve">výdaje na domovy pro seniory </w:t>
      </w:r>
      <w:r w:rsidR="003F52E4">
        <w:rPr>
          <w:rFonts w:cs="Arial"/>
          <w:szCs w:val="20"/>
        </w:rPr>
        <w:t>hodnotu 11</w:t>
      </w:r>
      <w:r w:rsidR="00B97774">
        <w:rPr>
          <w:rFonts w:cs="Arial"/>
          <w:szCs w:val="20"/>
        </w:rPr>
        <w:t> </w:t>
      </w:r>
      <w:r w:rsidR="003F52E4">
        <w:rPr>
          <w:rFonts w:cs="Arial"/>
          <w:szCs w:val="20"/>
        </w:rPr>
        <w:t>mld.</w:t>
      </w:r>
      <w:r w:rsidR="00B97774">
        <w:rPr>
          <w:rFonts w:cs="Arial"/>
          <w:szCs w:val="20"/>
        </w:rPr>
        <w:t> </w:t>
      </w:r>
      <w:r w:rsidR="003F52E4">
        <w:rPr>
          <w:rFonts w:cs="Arial"/>
          <w:szCs w:val="20"/>
        </w:rPr>
        <w:t>Kč. K </w:t>
      </w:r>
      <w:r w:rsidR="00B97774">
        <w:rPr>
          <w:rFonts w:cs="Arial"/>
          <w:szCs w:val="20"/>
        </w:rPr>
        <w:t>pravidelnému</w:t>
      </w:r>
      <w:r w:rsidR="003F52E4">
        <w:rPr>
          <w:rFonts w:cs="Arial"/>
          <w:szCs w:val="20"/>
        </w:rPr>
        <w:t xml:space="preserve"> </w:t>
      </w:r>
      <w:r w:rsidR="00B97774">
        <w:rPr>
          <w:rFonts w:cs="Arial"/>
          <w:szCs w:val="20"/>
        </w:rPr>
        <w:t>navyšování</w:t>
      </w:r>
      <w:r w:rsidR="003F52E4">
        <w:rPr>
          <w:rFonts w:cs="Arial"/>
          <w:szCs w:val="20"/>
        </w:rPr>
        <w:t xml:space="preserve"> </w:t>
      </w:r>
      <w:r w:rsidR="00B97774">
        <w:rPr>
          <w:rFonts w:cs="Arial"/>
          <w:szCs w:val="20"/>
        </w:rPr>
        <w:t xml:space="preserve">výdajů </w:t>
      </w:r>
      <w:r w:rsidR="003F52E4">
        <w:rPr>
          <w:rFonts w:cs="Arial"/>
          <w:szCs w:val="20"/>
        </w:rPr>
        <w:t>dochází také u domov</w:t>
      </w:r>
      <w:r w:rsidR="00B97774">
        <w:rPr>
          <w:rFonts w:cs="Arial"/>
          <w:szCs w:val="20"/>
        </w:rPr>
        <w:t>ů</w:t>
      </w:r>
      <w:r w:rsidR="003F52E4">
        <w:rPr>
          <w:rFonts w:cs="Arial"/>
          <w:szCs w:val="20"/>
        </w:rPr>
        <w:t xml:space="preserve"> se zvláštním režimem</w:t>
      </w:r>
      <w:r w:rsidR="00B97774">
        <w:rPr>
          <w:rFonts w:cs="Arial"/>
          <w:szCs w:val="20"/>
        </w:rPr>
        <w:t xml:space="preserve"> (v</w:t>
      </w:r>
      <w:r w:rsidR="008051FD">
        <w:rPr>
          <w:rFonts w:cs="Arial"/>
          <w:szCs w:val="20"/>
        </w:rPr>
        <w:t>ýdaje v</w:t>
      </w:r>
      <w:r w:rsidR="00B97774">
        <w:rPr>
          <w:rFonts w:cs="Arial"/>
          <w:szCs w:val="20"/>
        </w:rPr>
        <w:t xml:space="preserve"> roce 2015 přes 5 mld. Kč), kde je ovšem evidován každoroční růst počtu zařízení, lůžek i klientů.</w:t>
      </w:r>
    </w:p>
    <w:p w:rsidR="00941AA1" w:rsidRDefault="00941AA1" w:rsidP="00941AA1">
      <w:pPr>
        <w:spacing w:line="240" w:lineRule="auto"/>
        <w:ind w:firstLine="709"/>
        <w:jc w:val="both"/>
        <w:rPr>
          <w:rFonts w:cs="Arial"/>
          <w:szCs w:val="20"/>
        </w:rPr>
      </w:pPr>
    </w:p>
    <w:p w:rsidR="00D42AF4" w:rsidRDefault="00D42AF4" w:rsidP="00D42AF4">
      <w:pPr>
        <w:pStyle w:val="Zkladntext"/>
        <w:jc w:val="center"/>
        <w:rPr>
          <w:rFonts w:ascii="Arial" w:hAnsi="Arial" w:cs="Arial"/>
          <w:b/>
          <w:sz w:val="20"/>
        </w:rPr>
      </w:pPr>
      <w:r w:rsidRPr="00D42AF4">
        <w:rPr>
          <w:rFonts w:ascii="Arial" w:hAnsi="Arial" w:cs="Arial"/>
          <w:b/>
          <w:sz w:val="20"/>
        </w:rPr>
        <w:t xml:space="preserve">Graf </w:t>
      </w:r>
      <w:r w:rsidR="009D633C">
        <w:rPr>
          <w:rFonts w:ascii="Arial" w:hAnsi="Arial" w:cs="Arial"/>
          <w:b/>
          <w:sz w:val="20"/>
        </w:rPr>
        <w:t>6</w:t>
      </w:r>
      <w:r w:rsidRPr="00D42AF4">
        <w:rPr>
          <w:rFonts w:ascii="Arial" w:hAnsi="Arial" w:cs="Arial"/>
          <w:b/>
          <w:sz w:val="20"/>
        </w:rPr>
        <w:t xml:space="preserve">.1 </w:t>
      </w:r>
      <w:r w:rsidR="009D633C" w:rsidRPr="009D633C">
        <w:rPr>
          <w:rFonts w:ascii="Arial" w:hAnsi="Arial" w:cs="Arial"/>
          <w:b/>
          <w:sz w:val="20"/>
        </w:rPr>
        <w:t>Výdaje na vybraná zařízení sociálních služeb</w:t>
      </w:r>
    </w:p>
    <w:p w:rsidR="00EE1262" w:rsidRDefault="00EE1262" w:rsidP="00D42AF4">
      <w:pPr>
        <w:jc w:val="center"/>
        <w:rPr>
          <w:rFonts w:cs="Arial"/>
          <w:szCs w:val="20"/>
        </w:rPr>
      </w:pPr>
    </w:p>
    <w:p w:rsidR="00D42AF4" w:rsidRDefault="009D633C" w:rsidP="00D42AF4">
      <w:pPr>
        <w:jc w:val="center"/>
        <w:rPr>
          <w:rFonts w:cs="Arial"/>
          <w:szCs w:val="20"/>
        </w:rPr>
      </w:pPr>
      <w:r w:rsidRPr="009D633C">
        <w:rPr>
          <w:rFonts w:cs="Arial"/>
          <w:b/>
          <w:noProof/>
          <w:szCs w:val="20"/>
        </w:rPr>
        <w:drawing>
          <wp:inline distT="0" distB="0" distL="0" distR="0">
            <wp:extent cx="5972810" cy="2907665"/>
            <wp:effectExtent l="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29E4" w:rsidRPr="009C558F" w:rsidRDefault="008429E4" w:rsidP="008429E4">
      <w:pPr>
        <w:spacing w:line="312" w:lineRule="auto"/>
        <w:ind w:firstLine="142"/>
        <w:jc w:val="both"/>
        <w:rPr>
          <w:noProof/>
          <w:sz w:val="16"/>
          <w:szCs w:val="16"/>
        </w:rPr>
      </w:pPr>
      <w:r>
        <w:rPr>
          <w:noProof/>
          <w:sz w:val="16"/>
          <w:szCs w:val="16"/>
        </w:rPr>
        <w:t>Zdroj dat: MPSV</w:t>
      </w:r>
    </w:p>
    <w:p w:rsidR="008429E4" w:rsidRDefault="008429E4" w:rsidP="008429E4">
      <w:pPr>
        <w:pStyle w:val="Zkladntext"/>
        <w:spacing w:line="72" w:lineRule="auto"/>
        <w:jc w:val="center"/>
        <w:rPr>
          <w:rFonts w:ascii="Arial" w:hAnsi="Arial" w:cs="Arial"/>
          <w:b/>
          <w:sz w:val="20"/>
        </w:rPr>
      </w:pPr>
    </w:p>
    <w:p w:rsidR="00941AA1" w:rsidRDefault="00E44CED" w:rsidP="008429E4">
      <w:pPr>
        <w:pStyle w:val="Zkladntext"/>
        <w:jc w:val="center"/>
        <w:rPr>
          <w:rFonts w:ascii="Arial" w:hAnsi="Arial" w:cs="Arial"/>
          <w:b/>
          <w:sz w:val="20"/>
        </w:rPr>
      </w:pPr>
      <w:bookmarkStart w:id="0" w:name="_GoBack"/>
      <w:bookmarkEnd w:id="0"/>
      <w:r w:rsidRPr="00E44CED">
        <w:rPr>
          <w:rFonts w:ascii="Arial" w:hAnsi="Arial" w:cs="Arial"/>
          <w:b/>
          <w:sz w:val="20"/>
        </w:rPr>
        <w:lastRenderedPageBreak/>
        <w:t xml:space="preserve">Graf </w:t>
      </w:r>
      <w:r w:rsidR="00C56DCC">
        <w:rPr>
          <w:rFonts w:ascii="Arial" w:hAnsi="Arial" w:cs="Arial"/>
          <w:b/>
          <w:sz w:val="20"/>
        </w:rPr>
        <w:t>6</w:t>
      </w:r>
      <w:r w:rsidRPr="00E44CED">
        <w:rPr>
          <w:rFonts w:ascii="Arial" w:hAnsi="Arial" w:cs="Arial"/>
          <w:b/>
          <w:sz w:val="20"/>
        </w:rPr>
        <w:t xml:space="preserve">.2 </w:t>
      </w:r>
      <w:r w:rsidR="00C56DCC" w:rsidRPr="00C56DCC">
        <w:rPr>
          <w:rFonts w:ascii="Arial" w:hAnsi="Arial" w:cs="Arial"/>
          <w:b/>
          <w:sz w:val="20"/>
        </w:rPr>
        <w:t>Struktura lůžek vybraných zařízení sociálních služeb podle zřizovatele v roce 2015</w:t>
      </w:r>
    </w:p>
    <w:p w:rsidR="00941AA1" w:rsidRDefault="002A39F8" w:rsidP="00E44CED">
      <w:pPr>
        <w:jc w:val="center"/>
        <w:rPr>
          <w:rFonts w:cs="Arial"/>
          <w:szCs w:val="20"/>
        </w:rPr>
      </w:pPr>
      <w:r>
        <w:rPr>
          <w:rFonts w:cs="Arial"/>
          <w:b/>
          <w:noProof/>
        </w:rPr>
        <w:pict>
          <v:shapetype id="_x0000_t202" coordsize="21600,21600" o:spt="202" path="m,l,21600r21600,l21600,xe">
            <v:stroke joinstyle="miter"/>
            <v:path gradientshapeok="t" o:connecttype="rect"/>
          </v:shapetype>
          <v:shape id="_x0000_s1033" type="#_x0000_t202" style="position:absolute;left:0;text-align:left;margin-left:412.8pt;margin-top:7.25pt;width:44.25pt;height:17.25pt;z-index:251665408" stroked="f">
            <v:textbox>
              <w:txbxContent>
                <w:p w:rsidR="00FB0A98" w:rsidRPr="00FB0A98" w:rsidRDefault="00FB0A98" w:rsidP="00FB0A98">
                  <w:pPr>
                    <w:rPr>
                      <w:b/>
                      <w:sz w:val="16"/>
                      <w:szCs w:val="16"/>
                    </w:rPr>
                  </w:pPr>
                  <w:r>
                    <w:rPr>
                      <w:b/>
                      <w:sz w:val="16"/>
                      <w:szCs w:val="16"/>
                    </w:rPr>
                    <w:t>n=537</w:t>
                  </w:r>
                </w:p>
              </w:txbxContent>
            </v:textbox>
          </v:shape>
        </w:pict>
      </w:r>
      <w:r>
        <w:rPr>
          <w:rFonts w:cs="Arial"/>
          <w:b/>
          <w:noProof/>
        </w:rPr>
        <w:pict>
          <v:shape id="_x0000_s1029" type="#_x0000_t202" style="position:absolute;left:0;text-align:left;margin-left:166.8pt;margin-top:7.25pt;width:49.5pt;height:17.25pt;z-index:251661312" stroked="f">
            <v:textbox>
              <w:txbxContent>
                <w:p w:rsidR="00FB0A98" w:rsidRPr="00FB0A98" w:rsidRDefault="00FB0A98" w:rsidP="00FB0A98">
                  <w:pPr>
                    <w:rPr>
                      <w:b/>
                      <w:sz w:val="16"/>
                      <w:szCs w:val="16"/>
                    </w:rPr>
                  </w:pPr>
                  <w:r>
                    <w:rPr>
                      <w:b/>
                      <w:sz w:val="16"/>
                      <w:szCs w:val="16"/>
                    </w:rPr>
                    <w:t>n=37 200</w:t>
                  </w:r>
                </w:p>
              </w:txbxContent>
            </v:textbox>
          </v:shape>
        </w:pict>
      </w:r>
      <w:r>
        <w:rPr>
          <w:rFonts w:cs="Arial"/>
          <w:b/>
          <w:noProof/>
        </w:rPr>
        <w:pict>
          <v:shape id="_x0000_s1028" type="#_x0000_t202" style="position:absolute;left:0;text-align:left;margin-left:106.8pt;margin-top:7.25pt;width:48.75pt;height:17.25pt;z-index:251660288" stroked="f">
            <v:textbox>
              <w:txbxContent>
                <w:p w:rsidR="00FB0A98" w:rsidRPr="00FB0A98" w:rsidRDefault="00FB0A98" w:rsidP="00FB0A98">
                  <w:pPr>
                    <w:rPr>
                      <w:b/>
                      <w:sz w:val="16"/>
                      <w:szCs w:val="16"/>
                    </w:rPr>
                  </w:pPr>
                  <w:r>
                    <w:rPr>
                      <w:b/>
                      <w:sz w:val="16"/>
                      <w:szCs w:val="16"/>
                    </w:rPr>
                    <w:t>n=1 2707</w:t>
                  </w:r>
                </w:p>
              </w:txbxContent>
            </v:textbox>
          </v:shape>
        </w:pict>
      </w:r>
      <w:r>
        <w:rPr>
          <w:rFonts w:cs="Arial"/>
          <w:b/>
          <w:noProof/>
        </w:rPr>
        <w:pict>
          <v:shape id="_x0000_s1032" type="#_x0000_t202" style="position:absolute;left:0;text-align:left;margin-left:349.05pt;margin-top:7.25pt;width:51pt;height:17.25pt;z-index:251664384" stroked="f">
            <v:textbox>
              <w:txbxContent>
                <w:p w:rsidR="00FB0A98" w:rsidRPr="00FB0A98" w:rsidRDefault="00FB0A98" w:rsidP="00FB0A98">
                  <w:pPr>
                    <w:rPr>
                      <w:b/>
                      <w:sz w:val="16"/>
                      <w:szCs w:val="16"/>
                    </w:rPr>
                  </w:pPr>
                  <w:r>
                    <w:rPr>
                      <w:b/>
                      <w:sz w:val="16"/>
                      <w:szCs w:val="16"/>
                    </w:rPr>
                    <w:t>n=7 311</w:t>
                  </w:r>
                </w:p>
              </w:txbxContent>
            </v:textbox>
          </v:shape>
        </w:pict>
      </w:r>
      <w:r>
        <w:rPr>
          <w:rFonts w:cs="Arial"/>
          <w:b/>
          <w:noProof/>
        </w:rPr>
        <w:pict>
          <v:shape id="_x0000_s1030" type="#_x0000_t202" style="position:absolute;left:0;text-align:left;margin-left:226.05pt;margin-top:7.25pt;width:51pt;height:17.25pt;z-index:251662336" stroked="f">
            <v:textbox>
              <w:txbxContent>
                <w:p w:rsidR="00FB0A98" w:rsidRPr="00FB0A98" w:rsidRDefault="00FB0A98" w:rsidP="00FB0A98">
                  <w:pPr>
                    <w:rPr>
                      <w:b/>
                      <w:sz w:val="16"/>
                      <w:szCs w:val="16"/>
                    </w:rPr>
                  </w:pPr>
                  <w:r>
                    <w:rPr>
                      <w:b/>
                      <w:sz w:val="16"/>
                      <w:szCs w:val="16"/>
                    </w:rPr>
                    <w:t>n=15 494</w:t>
                  </w:r>
                </w:p>
              </w:txbxContent>
            </v:textbox>
          </v:shape>
        </w:pict>
      </w:r>
      <w:r>
        <w:rPr>
          <w:rFonts w:cs="Arial"/>
          <w:b/>
          <w:noProof/>
        </w:rPr>
        <w:pict>
          <v:shape id="_x0000_s1031" type="#_x0000_t202" style="position:absolute;left:0;text-align:left;margin-left:291.3pt;margin-top:7.25pt;width:51pt;height:17.25pt;z-index:251663360" stroked="f">
            <v:textbox>
              <w:txbxContent>
                <w:p w:rsidR="00FB0A98" w:rsidRPr="00FB0A98" w:rsidRDefault="00FB0A98" w:rsidP="00FB0A98">
                  <w:pPr>
                    <w:rPr>
                      <w:b/>
                      <w:sz w:val="16"/>
                      <w:szCs w:val="16"/>
                    </w:rPr>
                  </w:pPr>
                  <w:r>
                    <w:rPr>
                      <w:b/>
                      <w:sz w:val="16"/>
                      <w:szCs w:val="16"/>
                    </w:rPr>
                    <w:t>n=3 556</w:t>
                  </w:r>
                </w:p>
              </w:txbxContent>
            </v:textbox>
          </v:shape>
        </w:pict>
      </w:r>
      <w:r>
        <w:rPr>
          <w:rFonts w:cs="Arial"/>
          <w:noProof/>
          <w:szCs w:val="20"/>
        </w:rPr>
        <w:pict>
          <v:shape id="_x0000_s1026" type="#_x0000_t202" style="position:absolute;left:0;text-align:left;margin-left:52.05pt;margin-top:7.25pt;width:43.5pt;height:17.25pt;z-index:251658240" stroked="f">
            <v:textbox>
              <w:txbxContent>
                <w:p w:rsidR="00FB0A98" w:rsidRPr="00FB0A98" w:rsidRDefault="00FB0A98">
                  <w:pPr>
                    <w:rPr>
                      <w:b/>
                      <w:sz w:val="16"/>
                      <w:szCs w:val="16"/>
                    </w:rPr>
                  </w:pPr>
                  <w:r>
                    <w:rPr>
                      <w:b/>
                      <w:sz w:val="16"/>
                      <w:szCs w:val="16"/>
                    </w:rPr>
                    <w:t>n=</w:t>
                  </w:r>
                  <w:r w:rsidRPr="00FB0A98">
                    <w:rPr>
                      <w:b/>
                      <w:sz w:val="16"/>
                      <w:szCs w:val="16"/>
                    </w:rPr>
                    <w:t>836</w:t>
                  </w:r>
                </w:p>
              </w:txbxContent>
            </v:textbox>
          </v:shape>
        </w:pict>
      </w:r>
      <w:r w:rsidR="00FB0A98" w:rsidRPr="00FB0A98">
        <w:rPr>
          <w:rFonts w:cs="Arial"/>
          <w:noProof/>
          <w:szCs w:val="20"/>
        </w:rPr>
        <w:drawing>
          <wp:inline distT="0" distB="0" distL="0" distR="0">
            <wp:extent cx="5972810" cy="3437255"/>
            <wp:effectExtent l="0" t="0" r="0" b="0"/>
            <wp:docPr id="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29E4" w:rsidRPr="009C558F" w:rsidRDefault="008429E4" w:rsidP="008429E4">
      <w:pPr>
        <w:spacing w:line="312" w:lineRule="auto"/>
        <w:ind w:firstLine="284"/>
        <w:jc w:val="both"/>
        <w:rPr>
          <w:noProof/>
          <w:sz w:val="16"/>
          <w:szCs w:val="16"/>
        </w:rPr>
      </w:pPr>
      <w:r>
        <w:rPr>
          <w:noProof/>
          <w:sz w:val="16"/>
          <w:szCs w:val="16"/>
        </w:rPr>
        <w:t>Zdroj dat: MPSV</w:t>
      </w:r>
    </w:p>
    <w:p w:rsidR="00941AA1" w:rsidRDefault="00941AA1" w:rsidP="008429E4">
      <w:pPr>
        <w:spacing w:line="240" w:lineRule="auto"/>
        <w:jc w:val="both"/>
        <w:rPr>
          <w:rFonts w:cs="Arial"/>
          <w:szCs w:val="20"/>
        </w:rPr>
      </w:pPr>
    </w:p>
    <w:p w:rsidR="00E44CED" w:rsidRDefault="00FB0A98" w:rsidP="00140EAD">
      <w:pPr>
        <w:ind w:firstLine="709"/>
        <w:jc w:val="both"/>
        <w:rPr>
          <w:rFonts w:cs="Arial"/>
          <w:szCs w:val="20"/>
        </w:rPr>
      </w:pPr>
      <w:r>
        <w:rPr>
          <w:rFonts w:cs="Arial"/>
          <w:szCs w:val="20"/>
        </w:rPr>
        <w:t>Stát nadále určuje podmínky pro poskytování sociálních služeb, ale není jejich poskytovatelem</w:t>
      </w:r>
      <w:r w:rsidR="008051FD">
        <w:rPr>
          <w:rFonts w:cs="Arial"/>
          <w:szCs w:val="20"/>
        </w:rPr>
        <w:t>,</w:t>
      </w:r>
      <w:r w:rsidR="00D85A24">
        <w:rPr>
          <w:rFonts w:cs="Arial"/>
          <w:szCs w:val="20"/>
        </w:rPr>
        <w:t xml:space="preserve"> s výjimkou pěti specializovaných ústavů sociální péče</w:t>
      </w:r>
      <w:r w:rsidR="008051FD">
        <w:rPr>
          <w:rFonts w:cs="Arial"/>
          <w:szCs w:val="20"/>
        </w:rPr>
        <w:t>,</w:t>
      </w:r>
      <w:r w:rsidR="00D85A24">
        <w:rPr>
          <w:rFonts w:cs="Arial"/>
          <w:szCs w:val="20"/>
        </w:rPr>
        <w:t xml:space="preserve"> jejichž zřizovatelem je MPSV.</w:t>
      </w:r>
      <w:r w:rsidR="00D47AE0">
        <w:rPr>
          <w:rFonts w:cs="Arial"/>
          <w:szCs w:val="20"/>
        </w:rPr>
        <w:t xml:space="preserve"> </w:t>
      </w:r>
      <w:r w:rsidR="00CF2C0F">
        <w:rPr>
          <w:rFonts w:cs="Arial"/>
          <w:szCs w:val="20"/>
        </w:rPr>
        <w:t>Hlavní úlohu ve zhodnocení potřeb</w:t>
      </w:r>
      <w:r w:rsidR="00D47AE0">
        <w:rPr>
          <w:rFonts w:cs="Arial"/>
          <w:szCs w:val="20"/>
        </w:rPr>
        <w:t xml:space="preserve"> </w:t>
      </w:r>
      <w:r w:rsidR="00CF2C0F">
        <w:rPr>
          <w:rFonts w:cs="Arial"/>
          <w:szCs w:val="20"/>
        </w:rPr>
        <w:t>obyvatel a zajištění typově a územně dostupné sítě sociálních služeb mají krajské a místní samosprávy. Téměř tři čtvrtiny všech lůžek zařízení sociálních služeb vykazují instituce, které jsou zřizovány kraji či obcemi. Soukromí zřizovatelé hrají důležitou roli zvláště u některých druhů zařízení sociálních služeb</w:t>
      </w:r>
      <w:r w:rsidR="00983B96">
        <w:rPr>
          <w:rFonts w:cs="Arial"/>
          <w:szCs w:val="20"/>
        </w:rPr>
        <w:t>,</w:t>
      </w:r>
      <w:r w:rsidR="00CF2C0F">
        <w:rPr>
          <w:rFonts w:cs="Arial"/>
          <w:szCs w:val="20"/>
        </w:rPr>
        <w:t xml:space="preserve"> jako jsou</w:t>
      </w:r>
      <w:r w:rsidR="00983B96">
        <w:rPr>
          <w:rFonts w:cs="Arial"/>
          <w:szCs w:val="20"/>
        </w:rPr>
        <w:t xml:space="preserve"> terapeutické komunity, centra sociálně rehabilitačních služeb, služby následné péče, zařízení pro krizovou pomoc a domy na půl cesty.</w:t>
      </w:r>
    </w:p>
    <w:p w:rsidR="001A7736" w:rsidRDefault="001A7736" w:rsidP="00140EAD">
      <w:pPr>
        <w:ind w:firstLine="709"/>
        <w:jc w:val="both"/>
        <w:rPr>
          <w:rFonts w:cs="Arial"/>
          <w:szCs w:val="20"/>
        </w:rPr>
      </w:pPr>
      <w:r>
        <w:rPr>
          <w:rFonts w:cs="Arial"/>
          <w:szCs w:val="20"/>
        </w:rPr>
        <w:t>Podíl klientů pobytových zařízení sociálních služeb</w:t>
      </w:r>
      <w:r w:rsidR="008051FD">
        <w:rPr>
          <w:rFonts w:cs="Arial"/>
          <w:szCs w:val="20"/>
        </w:rPr>
        <w:t xml:space="preserve"> s omezením mobility</w:t>
      </w:r>
      <w:r>
        <w:rPr>
          <w:rFonts w:cs="Arial"/>
          <w:szCs w:val="20"/>
        </w:rPr>
        <w:t xml:space="preserve"> je pochopitelně závislý na druhu a charakteru poskytované služby</w:t>
      </w:r>
      <w:r w:rsidR="002A39F8">
        <w:rPr>
          <w:rFonts w:cs="Arial"/>
          <w:szCs w:val="20"/>
        </w:rPr>
        <w:t xml:space="preserve"> a věkové struktuře klientů</w:t>
      </w:r>
      <w:r>
        <w:rPr>
          <w:rFonts w:cs="Arial"/>
          <w:szCs w:val="20"/>
        </w:rPr>
        <w:t xml:space="preserve">. Nejvíce uživatelů s pohybovým omezením je vykazováno mezi klienty domovů pro seniory a domovů se zvláštním režimem. </w:t>
      </w:r>
    </w:p>
    <w:p w:rsidR="001A7736" w:rsidRDefault="00983B96" w:rsidP="008429E4">
      <w:pPr>
        <w:spacing w:before="160"/>
        <w:ind w:firstLine="709"/>
        <w:jc w:val="center"/>
        <w:rPr>
          <w:rFonts w:cs="Arial"/>
          <w:b/>
        </w:rPr>
      </w:pPr>
      <w:r w:rsidRPr="00E44CED">
        <w:rPr>
          <w:rFonts w:cs="Arial"/>
          <w:b/>
        </w:rPr>
        <w:t xml:space="preserve">Graf </w:t>
      </w:r>
      <w:r>
        <w:rPr>
          <w:rFonts w:cs="Arial"/>
          <w:b/>
        </w:rPr>
        <w:t>6</w:t>
      </w:r>
      <w:r w:rsidRPr="00E44CED">
        <w:rPr>
          <w:rFonts w:cs="Arial"/>
          <w:b/>
        </w:rPr>
        <w:t>.</w:t>
      </w:r>
      <w:r>
        <w:rPr>
          <w:rFonts w:cs="Arial"/>
          <w:b/>
        </w:rPr>
        <w:t xml:space="preserve">3 </w:t>
      </w:r>
      <w:r w:rsidRPr="00983B96">
        <w:rPr>
          <w:rFonts w:cs="Arial"/>
          <w:b/>
        </w:rPr>
        <w:t>Podíl uživatelů pobyto</w:t>
      </w:r>
      <w:r w:rsidR="001A7736">
        <w:rPr>
          <w:rFonts w:cs="Arial"/>
          <w:b/>
        </w:rPr>
        <w:t>vých zařízení sociálních služeb</w:t>
      </w:r>
    </w:p>
    <w:p w:rsidR="00983B96" w:rsidRDefault="00983B96" w:rsidP="00983B96">
      <w:pPr>
        <w:ind w:firstLine="709"/>
        <w:jc w:val="center"/>
        <w:rPr>
          <w:rFonts w:cs="Arial"/>
          <w:b/>
        </w:rPr>
      </w:pPr>
      <w:r>
        <w:rPr>
          <w:rFonts w:cs="Arial"/>
          <w:b/>
        </w:rPr>
        <w:t>s vážným omezením mobility</w:t>
      </w:r>
      <w:r w:rsidRPr="00983B96">
        <w:rPr>
          <w:rFonts w:cs="Arial"/>
          <w:b/>
        </w:rPr>
        <w:t xml:space="preserve"> k 31. 12. 2015</w:t>
      </w:r>
    </w:p>
    <w:p w:rsidR="00983B96" w:rsidRDefault="001A7736" w:rsidP="008429E4">
      <w:pPr>
        <w:spacing w:line="240" w:lineRule="auto"/>
        <w:jc w:val="center"/>
        <w:rPr>
          <w:rFonts w:cs="Arial"/>
          <w:szCs w:val="20"/>
        </w:rPr>
      </w:pPr>
      <w:r w:rsidRPr="001A7736">
        <w:rPr>
          <w:rFonts w:cs="Arial"/>
          <w:noProof/>
          <w:szCs w:val="20"/>
        </w:rPr>
        <w:drawing>
          <wp:inline distT="0" distB="0" distL="0" distR="0" wp14:anchorId="038B4E4D" wp14:editId="1247A50F">
            <wp:extent cx="5448300" cy="2809876"/>
            <wp:effectExtent l="0" t="0" r="0" b="0"/>
            <wp:docPr id="16"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29E4" w:rsidRPr="009C558F" w:rsidRDefault="008429E4" w:rsidP="008429E4">
      <w:pPr>
        <w:spacing w:line="312" w:lineRule="auto"/>
        <w:ind w:firstLine="709"/>
        <w:jc w:val="both"/>
        <w:rPr>
          <w:noProof/>
          <w:sz w:val="16"/>
          <w:szCs w:val="16"/>
        </w:rPr>
      </w:pPr>
      <w:r>
        <w:rPr>
          <w:noProof/>
          <w:sz w:val="16"/>
          <w:szCs w:val="16"/>
        </w:rPr>
        <w:t>Zdroj dat: MPSV</w:t>
      </w:r>
    </w:p>
    <w:p w:rsidR="009D633C" w:rsidRDefault="009D633C" w:rsidP="00140EAD">
      <w:pPr>
        <w:ind w:firstLine="709"/>
        <w:jc w:val="both"/>
        <w:rPr>
          <w:rFonts w:cs="Arial"/>
          <w:szCs w:val="20"/>
        </w:rPr>
      </w:pPr>
    </w:p>
    <w:p w:rsidR="009D633C" w:rsidRPr="008252A2" w:rsidRDefault="009D633C" w:rsidP="009D633C">
      <w:pPr>
        <w:pStyle w:val="Nadpis3"/>
        <w:jc w:val="both"/>
        <w:rPr>
          <w:rFonts w:eastAsia="Times New Roman" w:cs="Arial"/>
          <w:b w:val="0"/>
          <w:color w:val="auto"/>
          <w:sz w:val="20"/>
          <w:szCs w:val="20"/>
        </w:rPr>
      </w:pPr>
      <w:r>
        <w:t>D</w:t>
      </w:r>
      <w:r w:rsidRPr="00D42AF4">
        <w:t xml:space="preserve">ruhy </w:t>
      </w:r>
      <w:r>
        <w:t xml:space="preserve">zařízení </w:t>
      </w:r>
      <w:r w:rsidRPr="00D42AF4">
        <w:t>sociálních služeb</w:t>
      </w:r>
      <w:r>
        <w:t xml:space="preserve"> </w:t>
      </w:r>
      <w:r w:rsidRPr="008252A2">
        <w:rPr>
          <w:b w:val="0"/>
          <w:color w:val="auto"/>
          <w:sz w:val="20"/>
          <w:szCs w:val="20"/>
        </w:rPr>
        <w:t xml:space="preserve">(dle § 34 zákona </w:t>
      </w:r>
      <w:r>
        <w:rPr>
          <w:b w:val="0"/>
          <w:color w:val="auto"/>
          <w:sz w:val="20"/>
          <w:szCs w:val="20"/>
        </w:rPr>
        <w:t xml:space="preserve">č. </w:t>
      </w:r>
      <w:r w:rsidRPr="008252A2">
        <w:rPr>
          <w:b w:val="0"/>
          <w:color w:val="auto"/>
          <w:sz w:val="20"/>
          <w:szCs w:val="20"/>
        </w:rPr>
        <w:t xml:space="preserve">108/2006 Sb. </w:t>
      </w:r>
      <w:r>
        <w:rPr>
          <w:b w:val="0"/>
          <w:color w:val="auto"/>
          <w:sz w:val="20"/>
          <w:szCs w:val="20"/>
        </w:rPr>
        <w:t>o</w:t>
      </w:r>
      <w:r w:rsidRPr="008252A2">
        <w:rPr>
          <w:b w:val="0"/>
          <w:color w:val="auto"/>
          <w:sz w:val="20"/>
          <w:szCs w:val="20"/>
        </w:rPr>
        <w:t xml:space="preserve"> sociálních službách)</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Centra denních služeb</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Centra denních služeb poskytují ambulantní služby osobám se sníženou soběstačností z důvodu věku, chronického onemocnění nebo zdravotního postižení, jejichž situace vyžaduje pomoc jiné fyzické osoby. Cílem služby je posílit samostatnost a soběstačnost osob v nepříznivé sociální situaci, která může vést k sociálnímu vyloučení. Služba obsahuje pomoc při osobní hygieně nebo poskytnutí podmínek pro osobní hygienu, poskytnutí stravy nebo pomoc při zajištění stravy, výchovné, vzdělávací a aktivizační činnosti, prostředkování kontaktu se společenským prostředím, terapeutické činnosti</w:t>
      </w:r>
      <w:r w:rsidR="00E94045">
        <w:rPr>
          <w:rFonts w:ascii="Arial" w:hAnsi="Arial" w:cs="Arial"/>
          <w:sz w:val="20"/>
          <w:szCs w:val="20"/>
        </w:rPr>
        <w:t xml:space="preserve"> a pomoc při uplatňování práv a </w:t>
      </w:r>
      <w:r w:rsidRPr="0004599B">
        <w:rPr>
          <w:rFonts w:ascii="Arial" w:hAnsi="Arial" w:cs="Arial"/>
          <w:sz w:val="20"/>
          <w:szCs w:val="20"/>
        </w:rPr>
        <w:t xml:space="preserve">oprávněných zájmů. Služba se poskytuje za úhradu.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Denní stacionáře</w:t>
      </w:r>
    </w:p>
    <w:p w:rsidR="009D633C"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Denní stacionáře poskytují ambulantní služby osobám, které mají sníženou soběstačnost z důvodu věku, chronického onemocnění nebo zdravotního postižení, jejichž situace vyžaduje pravidelnou pomoc jiné fyzické osoby. Služba obsahuje pomoc při zvládání běžných úkonů péče o vlastní osobu, pomoc při osobní hygieně nebo poskytnutí podmínek pro osobní hygienu, poskytnutí</w:t>
      </w:r>
      <w:r w:rsidR="00E94045">
        <w:rPr>
          <w:rFonts w:ascii="Arial" w:hAnsi="Arial" w:cs="Arial"/>
          <w:sz w:val="20"/>
          <w:szCs w:val="20"/>
        </w:rPr>
        <w:t xml:space="preserve"> stravy, výchovné, vzdělávací a </w:t>
      </w:r>
      <w:r w:rsidRPr="0004599B">
        <w:rPr>
          <w:rFonts w:ascii="Arial" w:hAnsi="Arial" w:cs="Arial"/>
          <w:sz w:val="20"/>
          <w:szCs w:val="20"/>
        </w:rPr>
        <w:t xml:space="preserve">aktivizační činnosti, zprostředkování kontaktu se společenským prostředím, </w:t>
      </w:r>
      <w:r w:rsidR="00E94045">
        <w:rPr>
          <w:rFonts w:ascii="Arial" w:hAnsi="Arial" w:cs="Arial"/>
          <w:sz w:val="20"/>
          <w:szCs w:val="20"/>
        </w:rPr>
        <w:t xml:space="preserve">sociálně terapeutické </w:t>
      </w:r>
      <w:proofErr w:type="gramStart"/>
      <w:r w:rsidR="00E94045">
        <w:rPr>
          <w:rFonts w:ascii="Arial" w:hAnsi="Arial" w:cs="Arial"/>
          <w:sz w:val="20"/>
          <w:szCs w:val="20"/>
        </w:rPr>
        <w:t>činnosti,</w:t>
      </w:r>
      <w:r w:rsidRPr="0004599B">
        <w:rPr>
          <w:rFonts w:ascii="Arial" w:hAnsi="Arial" w:cs="Arial"/>
          <w:sz w:val="20"/>
          <w:szCs w:val="20"/>
        </w:rPr>
        <w:t>pomoc</w:t>
      </w:r>
      <w:proofErr w:type="gramEnd"/>
      <w:r w:rsidRPr="0004599B">
        <w:rPr>
          <w:rFonts w:ascii="Arial" w:hAnsi="Arial" w:cs="Arial"/>
          <w:sz w:val="20"/>
          <w:szCs w:val="20"/>
        </w:rPr>
        <w:t xml:space="preserve"> při uplatňování práv a oprávněných zájmů. Služba se poskytuje za úhradu.</w:t>
      </w:r>
    </w:p>
    <w:p w:rsidR="009D633C" w:rsidRDefault="009D633C" w:rsidP="008429E4">
      <w:pPr>
        <w:pStyle w:val="Nadpis4"/>
        <w:spacing w:line="240" w:lineRule="auto"/>
        <w:jc w:val="both"/>
        <w:rPr>
          <w:rFonts w:cs="Arial"/>
          <w:szCs w:val="20"/>
        </w:rPr>
      </w:pPr>
    </w:p>
    <w:p w:rsidR="009D633C" w:rsidRPr="0004599B" w:rsidRDefault="009D633C" w:rsidP="009D633C">
      <w:pPr>
        <w:pStyle w:val="Nadpis4"/>
        <w:jc w:val="both"/>
        <w:rPr>
          <w:rFonts w:cs="Arial"/>
          <w:szCs w:val="20"/>
        </w:rPr>
      </w:pPr>
      <w:r>
        <w:rPr>
          <w:rFonts w:cs="Arial"/>
          <w:szCs w:val="20"/>
        </w:rPr>
        <w:t>T</w:t>
      </w:r>
      <w:r w:rsidRPr="00BD77E6">
        <w:rPr>
          <w:rFonts w:cs="Arial"/>
          <w:szCs w:val="20"/>
        </w:rPr>
        <w:t>ýdenní stacionáře</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Týdenní stacionáře poskytují pobytové služby osobám, které mají sníženou soběstačnost z důvodu věku, chronického onemocnění nebo zdravotního postižení, jejichž situace vyžaduje pravidelnou pomoc jiné fyzické osoby.</w:t>
      </w:r>
      <w:r>
        <w:rPr>
          <w:rFonts w:ascii="Arial" w:hAnsi="Arial" w:cs="Arial"/>
          <w:sz w:val="20"/>
          <w:szCs w:val="20"/>
        </w:rPr>
        <w:t xml:space="preserve"> </w:t>
      </w:r>
      <w:r w:rsidRPr="0004599B">
        <w:rPr>
          <w:rFonts w:ascii="Arial" w:hAnsi="Arial" w:cs="Arial"/>
          <w:sz w:val="20"/>
          <w:szCs w:val="20"/>
        </w:rPr>
        <w:t>Služba obsahuje poskytnutí ubytování a stravy, pomoc při zvládání běžných úkonů péče o vlastní osobu, pomoc při osobní hygieně nebo poskytnutí podmínek pro osobní hygienu, poskytnutí stravy nebo pomoc při zajištění stravy, poskytnutí ubytování nebo pomoc při zajištění bydlení a výchovné, vzdělávací a aktivizační činnosti, zprostředkování kontaktu se společenským prostředím, sociálně terapeutické činnosti, pomoc při uplatňování práv a oprávněných zájmů. Služba se poskytuje za úhradu.</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Domovy pro osoby se zdravotním postižením</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Domovy pro osoby se zdravotním postižením poskytují dlouhodobé pobytové služby osobám, které mají sníženou soběstačnost z důvodu zdravotního postižení, jejichž situace vyžaduje pravidelnou pomoc jiné osoby. Služba obsahuje poskytnutí ubytování a stravy, pomoc při zvládání běžných úkonů péče o vlastní osobu, pomoc při osobní hygieně nebo poskytnutí podmínek pro osobní </w:t>
      </w:r>
      <w:r w:rsidR="00E94045">
        <w:rPr>
          <w:rFonts w:ascii="Arial" w:hAnsi="Arial" w:cs="Arial"/>
          <w:sz w:val="20"/>
          <w:szCs w:val="20"/>
        </w:rPr>
        <w:t>hygienu, výchovné, vzdělávací a </w:t>
      </w:r>
      <w:r w:rsidRPr="0004599B">
        <w:rPr>
          <w:rFonts w:ascii="Arial" w:hAnsi="Arial" w:cs="Arial"/>
          <w:sz w:val="20"/>
          <w:szCs w:val="20"/>
        </w:rPr>
        <w:t xml:space="preserve">aktivizační činnosti, zprostředkování kontaktu se společenským prostředím, sociálně terapeutické činnosti, pomoc při uplatňování práv a oprávněných zájmů. Služba se poskytuje za úhradu.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Domovy pro seniory</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Domovy pro seniory poskytují dlouhodobé pobytové služby osobám, které mají sníženou soběstačnost zejména z důvodu věku, jejichž situace vyžaduje pravidelnou pomoc jiné osoby.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pomoc při uplatňování práv a oprávněných zájmů. Služba se poskytuje za úhradu</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Domovy se zvláštním režimem</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Domovy se zvláštním režimem se poskytují dlouhodobé pobytové služby osobám, které mají sníženou soběstačnost z důvodu chronického duševního onemocnění, závislosti na návykových látkách, osobám se stařeckou, Alzheimerovou demencí a další typy demencí, jejichž situace vyžaduje pravidelnou pomoc jiné osoby. Režim v těchto zařízeních při poskytování sociálních služeb je přizpůsoben specifickým potřebám těchto osob.,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a pomoc při uplatňování práv a oprávněných zájmů. Služba se poskytuje za úhradu.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Chráněné bydlení</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Chráněné bydlení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 Služba obsahuje poskytnutí stravy nebo pomoc při zajištění stravy, poskytnutí ubytování, pomoc při </w:t>
      </w:r>
      <w:r w:rsidRPr="0004599B">
        <w:rPr>
          <w:rFonts w:ascii="Arial" w:hAnsi="Arial" w:cs="Arial"/>
          <w:sz w:val="20"/>
          <w:szCs w:val="20"/>
        </w:rPr>
        <w:lastRenderedPageBreak/>
        <w:t>zajištění chodu domácnosti, výchovné, vzdělávací a aktivizační činnosti, zprostředkování kontaktu se společenským prostředím, sociálně terapeutické činnosti, pomoc při uplatňování práv a oprávněných zájmů. Služba se poskytuje za úhradu.</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Azylové domy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Azylové domy poskytují pobytové služby na přechodnou dobu osobám v nepříznivé sociální situaci spojené se ztrátou bydlení. Služba obsahuje poskytnutí stravy nebo pomoc při zajištění stravy, poskytnutí ubytování a pomoc při uplatňování práv a oprávněných zájmů. Služba se poskytuje za úhradu.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Domy na půl cesty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Domy na půl cesty poskytují pobytové služby zpravidla pro osoby do 26 let věku, které po dosažení zletilosti opouštějí školská zařízení pro výkon ústavní nebo ochranné výchovy, popřípadě pro osoby z jiných zařízení pro péči o děti a mládež., a pro osoby, které jsou propuštěny z výkonu trestu odnětí svobody nebo ochranné léčby. Způsob poskytování sociálních služeb v těchto zařízeních je přizpůsoben specifickým potřebám těchto osob. Služba obsahuje činnosti poskytnutí ubytování, zprostředkování kontaktu se společenským prostředím, sociálně terapeutické činnosti a pomoc při uplatňování práv a oprávněných zájmů. Služba se poskytuje za úhradu.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Krizová pomoc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Krizová pomoc je terénní, ambulantní nebo pobytová služba na přechodnou dobu poskytovaná osobám, které se nacházejí v situaci ohrožení zdraví nebo života, kdy přechodně nemohou řešit svojí nepříznivou situaci vlastními silami. Služba obsahuje poskytnutí ubytování, poskytnutí stravy nebo pomoc při zajištění stravy, sociálně terapeutické činnosti a pomoc při uplatňování práv a oprávněných zájmů. Služba se poskytuje bez úhrady.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Nízkoprahová denní centra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Nízkoprahová denní centra poskytují ambulantní služby, popřípadě terénní služby pro osoby bez přístřeší. Služba obsahuje pomoc při osobní hygieně nebo poskytnutí podmínek pro osobní hygienu, poskytnutí stravy nebo pomoc při zajištění stravy, pomoc při uplatňování práv a oprávněných zájmů. V nízkoprahových denních centrech hradí osoby úhradu za stravu ve výši stanovené poskytovatelem.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Nízkoprahová zařízení pro děti a mládež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Nízkoprahová zařízení pro děti a mládež poskytují ambulantní, popřípadě terénní služby dětem a mládeži ohroženým sociálním vyloučením. Služba je určena dětem ve věku od 6 do 26 let ohroženým společensky nežádoucími jevy. Cílem služby je zlepšit kvalitu jejich života předcház</w:t>
      </w:r>
      <w:r w:rsidR="00E94045">
        <w:rPr>
          <w:rFonts w:ascii="Arial" w:hAnsi="Arial" w:cs="Arial"/>
          <w:sz w:val="20"/>
          <w:szCs w:val="20"/>
        </w:rPr>
        <w:t>ením nebo snížením sociálních a </w:t>
      </w:r>
      <w:r w:rsidRPr="0004599B">
        <w:rPr>
          <w:rFonts w:ascii="Arial" w:hAnsi="Arial" w:cs="Arial"/>
          <w:sz w:val="20"/>
          <w:szCs w:val="20"/>
        </w:rPr>
        <w:t xml:space="preserve">zdravotních rizik souvisejících s jejich způsobem života, umožnit jim lépe se orientovat v jejich sociálním prostředí a vytvářet podmínky, aby v případě zájmu mohli řešit svoji nepříznivou sociální situaci. Služba může být poskytována osobám anonymně. Služba obsahuje výchovné, vzdělávací a aktivizační činnosti, zprostředkování kontaktu se společenským prostředím, sociálně terapeutické činnosti a pomoc při uplatňování práv a oprávněných zájmů. Služba se poskytuje bez úhrady.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Noclehárny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Noclehárny poskytují ambulantní služby osobám bez přístřeší, které mají zájem o využití hygienického zařízení a přenocování. Služba obsahuje pomoc při osobní hygieně nebo poskytnutí podmínek pro osobní hygienu, poskytnutí přenocování. Služba se poskytuje za úhradu ve výši stanovené poskytovatelem.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Terapeutické komunity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Terapeutické komunity poskytují pobytové služby i na přechodnou dobu pro osoby závislé na návykových látkách nebo osoby s chronickým duševním onemocněním, které mají zájem o začlenění do běžného života. Služba obsahuje činnosti poskytnutí stravy, poskytnutí ubytování, zprostředkování kontaktu se společenským prostředím, sociálně terapeutické činnosti a pomoc při uplatňování práv a oprávněných zájmů. Služba se poskytuje za úhradu.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Sociální poradenství</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Sociální poradenství poskytuje osobám v nepříznivé sociální situaci potřebné informace přispívající k řešení jejich situace. Základní sociální poradenství je součástí všech druhů sociálních služeb. Odborné sociální poradenství zahrnuje občanské poradny, manželské a rodinné poradny, sociální práci s osobami společensky nepřizpůsobenými, poradny pro oběti trestných činů a domácího násilí, sociálně právní poradenství pro osoby se zdravotním postižením a seniory. Služba obsahuje poradenství, zprostředkování kontaktu se společenským prostředím, terapeutické činnosti a pomoc při uplatňování práv a oprávněných zájmů. Služba se poskytuje bez úhrady.</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Sociálně terapeutické dílny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Sociálně terapeutické dílny jsou ambulantní služby poskytované osobám se sníženou soběstačností z důvodu zdravotního postižení, které nejsou z tohoto důvodu umístitelné na otevřeném ani chráněném trhu práce. Jejich účelem je dlouhodobá a pravidelná podpora zdokonalování pracovních návyků a dovedností prostřednictvím pracovní terapie. Služba obsahuje činnosti pomoc při osobní hygieně nebo poskytnutí podmínek pro osobní hygienu, poskytnutí stravy nebo pomoc při zajištění stravy, nácvik dovedností pro zvládání péče o vlastní osobu, soběstačnosti a dalších činností vedoucích k sociálnímu začlenění a podpora vytváření a zdokonalování základních pracovních návyků a dovedností. Služba se poskytuje za úhradu.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Sociální rehabilitace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Jedná se o soubor specifických činností směřujících k dosažení samostatnosti, nezávislosti a soběstačnosti osob, a to rozvojem jejich specifických schopností a dovedností, posilováním návyků a nácvikem výkonu běžných činností pro samostatný život. Sociální rehabilitace se poskytuje formou terénních a ambulantních služeb, nebo formou pobytových služeb poskytovaných v centrech sociálně re</w:t>
      </w:r>
      <w:r w:rsidR="00E94045">
        <w:rPr>
          <w:rFonts w:ascii="Arial" w:hAnsi="Arial" w:cs="Arial"/>
          <w:sz w:val="20"/>
          <w:szCs w:val="20"/>
        </w:rPr>
        <w:t>habilitačních služeb. Terénní a </w:t>
      </w:r>
      <w:r w:rsidRPr="0004599B">
        <w:rPr>
          <w:rFonts w:ascii="Arial" w:hAnsi="Arial" w:cs="Arial"/>
          <w:sz w:val="20"/>
          <w:szCs w:val="20"/>
        </w:rPr>
        <w:t>ambulantní služba obsahuje činnosti nácvik dovedností pro zvládání péče o</w:t>
      </w:r>
      <w:r w:rsidR="00E94045">
        <w:rPr>
          <w:rFonts w:ascii="Arial" w:hAnsi="Arial" w:cs="Arial"/>
          <w:sz w:val="20"/>
          <w:szCs w:val="20"/>
        </w:rPr>
        <w:t> vlastní osobu, soběstačnosti a </w:t>
      </w:r>
      <w:r w:rsidRPr="0004599B">
        <w:rPr>
          <w:rFonts w:ascii="Arial" w:hAnsi="Arial" w:cs="Arial"/>
          <w:sz w:val="20"/>
          <w:szCs w:val="20"/>
        </w:rPr>
        <w:t xml:space="preserve">dalších činností vedoucích k sociálnímu začlenění, zprostředkování kontaktu se společenským prostředím, výchovné, vzdělávací a aktivizační činnosti a pomoc při uplatňování práv a oprávněných zájmů. Forma pobytové služby v centrech sociálně rehabilitačních služeb obsahuje poskytnutí ubytování a stravy, pomoc při osobní hygieně nebo poskytnutí podmínek pro osobní hygienu,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Služba se poskytuje za úhradu.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Raná péče</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Raná péče je terénní služba, popřípadě doplněná ambulantní formou služby, poskytována dítěti a rodičům </w:t>
      </w:r>
      <w:r>
        <w:rPr>
          <w:rFonts w:ascii="Arial" w:hAnsi="Arial" w:cs="Arial"/>
          <w:sz w:val="20"/>
          <w:szCs w:val="20"/>
        </w:rPr>
        <w:t xml:space="preserve">dítěte </w:t>
      </w:r>
      <w:r w:rsidRPr="0004599B">
        <w:rPr>
          <w:rFonts w:ascii="Arial" w:hAnsi="Arial" w:cs="Arial"/>
          <w:sz w:val="20"/>
          <w:szCs w:val="20"/>
        </w:rPr>
        <w:t>ve věku do 7 let, které je zdravotně postižené, nebo jehož vývoj je ohrožen v důsledku nepříznivého zdravotního stavu Služba je zaměřena na podporu rodiny a podporu vývoje dítěte s ohledem na jeho specifické potřeby. Služba obsahuje výchovné, vzdělávací a aktivizační činnosti, zprostředkování kontaktu se společenským prostředím, sociálně terapeutické činnosti a pomoc při uplatňování práv a oprávněných zájmů. Služba se poskytuje bez úhrady.</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Intervenční centra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Intervenční centra poskytují pomoc osobám ohroženým domácím násilím. Na základě zákonné povinnosti kontaktují osobu ohroženou, a to nejpozději do 48 hodin od doručení kopie úředního záznamu o vykázání ze společného obydlí. Služba obsahuje sociálně terapeutické činnosti</w:t>
      </w:r>
      <w:r w:rsidR="00E94045">
        <w:rPr>
          <w:rFonts w:ascii="Arial" w:hAnsi="Arial" w:cs="Arial"/>
          <w:sz w:val="20"/>
          <w:szCs w:val="20"/>
        </w:rPr>
        <w:t xml:space="preserve"> a pomoc při uplatňování práv a </w:t>
      </w:r>
      <w:r w:rsidRPr="0004599B">
        <w:rPr>
          <w:rFonts w:ascii="Arial" w:hAnsi="Arial" w:cs="Arial"/>
          <w:sz w:val="20"/>
          <w:szCs w:val="20"/>
        </w:rPr>
        <w:t xml:space="preserve">oprávněných zájmů. Pokud je poskytována formou pobytových služeb obsahuje poskytnutí ubytování, poskytnutí stravy nebo pomoc při zajištění stravy. Součástí služby je zajištění spolupráce mezi intervenčními centry, poskytovateli jiných sociálních služeb, OSPOD, obcemi, útvary Policie ČR a obecní policie, jakož i ostatními orgány veřejné správy. Služba se poskytuje bez úhrady. </w:t>
      </w:r>
    </w:p>
    <w:p w:rsidR="009D633C" w:rsidRDefault="009D633C" w:rsidP="008429E4">
      <w:pPr>
        <w:pStyle w:val="Nadpis4"/>
        <w:spacing w:line="240" w:lineRule="auto"/>
        <w:jc w:val="both"/>
        <w:rPr>
          <w:rFonts w:cs="Arial"/>
          <w:szCs w:val="20"/>
        </w:rPr>
      </w:pPr>
    </w:p>
    <w:p w:rsidR="009D633C" w:rsidRPr="00BD77E6" w:rsidRDefault="009D633C" w:rsidP="009D633C">
      <w:pPr>
        <w:pStyle w:val="Nadpis4"/>
        <w:jc w:val="both"/>
        <w:rPr>
          <w:rFonts w:cs="Arial"/>
          <w:szCs w:val="20"/>
        </w:rPr>
      </w:pPr>
      <w:r w:rsidRPr="00BD77E6">
        <w:rPr>
          <w:rFonts w:cs="Arial"/>
          <w:szCs w:val="20"/>
        </w:rPr>
        <w:t xml:space="preserve">Služby následné péče </w:t>
      </w:r>
    </w:p>
    <w:p w:rsidR="009D633C" w:rsidRPr="0004599B" w:rsidRDefault="009D633C" w:rsidP="009D633C">
      <w:pPr>
        <w:pStyle w:val="Normlnweb"/>
        <w:spacing w:before="0" w:beforeAutospacing="0" w:after="0" w:afterAutospacing="0"/>
        <w:jc w:val="both"/>
        <w:rPr>
          <w:rFonts w:ascii="Arial" w:hAnsi="Arial" w:cs="Arial"/>
          <w:sz w:val="20"/>
          <w:szCs w:val="20"/>
        </w:rPr>
      </w:pPr>
      <w:r w:rsidRPr="0004599B">
        <w:rPr>
          <w:rFonts w:ascii="Arial" w:hAnsi="Arial" w:cs="Arial"/>
          <w:sz w:val="20"/>
          <w:szCs w:val="20"/>
        </w:rPr>
        <w:t xml:space="preserve">Služby následné péče jsou ambulantní nebo pobytové služby poskytované osobám s chronickým duševním onemocněním a osobám závislým na návykových látkách, které absolvovaly ústavní léčbu ve zdravotnickém zařízení, absolvovaly ambulantní léčbu nebo se jí podrobují, nebo osobám, které abstinují. Služba obsahuje sociálně terapeutické činnosti, zprostředkování kontaktu se společenským prostředím pomoc při uplatňování práv a oprávněných zájmů. Služba se poskytuje bez úhrady. </w:t>
      </w:r>
    </w:p>
    <w:p w:rsidR="009D633C" w:rsidRDefault="009D633C" w:rsidP="008429E4">
      <w:pPr>
        <w:pStyle w:val="Nadpis4"/>
        <w:spacing w:line="240" w:lineRule="auto"/>
        <w:jc w:val="both"/>
        <w:rPr>
          <w:rFonts w:cs="Arial"/>
          <w:szCs w:val="20"/>
        </w:rPr>
      </w:pPr>
    </w:p>
    <w:p w:rsidR="00D42AF4" w:rsidRDefault="00D42AF4" w:rsidP="008429E4">
      <w:pPr>
        <w:pStyle w:val="Nadpis4"/>
        <w:spacing w:line="240" w:lineRule="auto"/>
        <w:jc w:val="both"/>
        <w:rPr>
          <w:rFonts w:cs="Arial"/>
          <w:szCs w:val="20"/>
        </w:rPr>
      </w:pPr>
    </w:p>
    <w:p w:rsidR="0061392F" w:rsidRDefault="0061392F" w:rsidP="0061392F">
      <w:pPr>
        <w:jc w:val="both"/>
      </w:pPr>
      <w:r w:rsidRPr="00DB7E42">
        <w:rPr>
          <w:b/>
        </w:rPr>
        <w:t xml:space="preserve">Rezortní statistická zjišťování </w:t>
      </w:r>
      <w:r>
        <w:t xml:space="preserve">Ministerstva práce a sociálních věcí (MPSV) týkající se oblasti sociálních služeb jsou dostupná na adrese </w:t>
      </w:r>
      <w:hyperlink r:id="rId13" w:history="1">
        <w:r w:rsidRPr="00910634">
          <w:rPr>
            <w:rStyle w:val="Hypertextovodkaz"/>
          </w:rPr>
          <w:t>http://www.mpsv.cz/cs/16646</w:t>
        </w:r>
      </w:hyperlink>
    </w:p>
    <w:p w:rsidR="0061392F" w:rsidRDefault="0061392F" w:rsidP="0061392F">
      <w:pPr>
        <w:jc w:val="both"/>
        <w:rPr>
          <w:rFonts w:cs="Arial"/>
        </w:rPr>
      </w:pPr>
      <w:r w:rsidRPr="009E488E">
        <w:rPr>
          <w:rFonts w:cs="Arial"/>
          <w:b/>
        </w:rPr>
        <w:t>Další informace z oblasti sociálních služeb</w:t>
      </w:r>
      <w:r>
        <w:rPr>
          <w:rFonts w:cs="Arial"/>
        </w:rPr>
        <w:t xml:space="preserve"> </w:t>
      </w:r>
      <w:r w:rsidRPr="001B62C7">
        <w:rPr>
          <w:rFonts w:cs="Arial"/>
        </w:rPr>
        <w:t xml:space="preserve">jsou </w:t>
      </w:r>
      <w:r>
        <w:rPr>
          <w:rFonts w:cs="Arial"/>
        </w:rPr>
        <w:t xml:space="preserve">dostupné </w:t>
      </w:r>
      <w:r w:rsidRPr="001B62C7">
        <w:rPr>
          <w:rFonts w:cs="Arial"/>
        </w:rPr>
        <w:t xml:space="preserve">na internetových stránkách </w:t>
      </w:r>
      <w:r>
        <w:rPr>
          <w:rFonts w:cs="Arial"/>
        </w:rPr>
        <w:t>Ministerstva práce a sociálních věcí (MPSV)</w:t>
      </w:r>
      <w:r w:rsidRPr="001B62C7">
        <w:rPr>
          <w:rFonts w:cs="Arial"/>
        </w:rPr>
        <w:t> </w:t>
      </w:r>
      <w:r w:rsidRPr="00D77086">
        <w:rPr>
          <w:rFonts w:cs="Arial"/>
        </w:rPr>
        <w:t xml:space="preserve"> </w:t>
      </w:r>
      <w:hyperlink r:id="rId14" w:history="1">
        <w:r w:rsidRPr="00732287">
          <w:rPr>
            <w:rStyle w:val="Hypertextovodkaz"/>
            <w:rFonts w:cs="Arial"/>
          </w:rPr>
          <w:t>http://www.mpsv.cz/cs/18661</w:t>
        </w:r>
      </w:hyperlink>
    </w:p>
    <w:p w:rsidR="0061392F" w:rsidRDefault="0061392F" w:rsidP="00BB73EE">
      <w:pPr>
        <w:pStyle w:val="Normlnweb"/>
        <w:jc w:val="both"/>
        <w:rPr>
          <w:rFonts w:cs="Arial"/>
          <w:szCs w:val="20"/>
        </w:rPr>
      </w:pPr>
    </w:p>
    <w:sectPr w:rsidR="0061392F" w:rsidSect="0030192A">
      <w:headerReference w:type="even" r:id="rId15"/>
      <w:headerReference w:type="default" r:id="rId16"/>
      <w:footerReference w:type="even" r:id="rId17"/>
      <w:footerReference w:type="default" r:id="rId18"/>
      <w:pgSz w:w="11906" w:h="16838" w:code="9"/>
      <w:pgMar w:top="993"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A0" w:rsidRDefault="00B42AA0" w:rsidP="00E71A58">
      <w:r>
        <w:separator/>
      </w:r>
    </w:p>
  </w:endnote>
  <w:endnote w:type="continuationSeparator" w:id="0">
    <w:p w:rsidR="00B42AA0" w:rsidRDefault="00B42AA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56" w:rsidRDefault="00701300"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C05C38">
      <w:rPr>
        <w:rFonts w:ascii="Arial" w:hAnsi="Arial" w:cs="Arial"/>
        <w:sz w:val="16"/>
        <w:szCs w:val="16"/>
      </w:rPr>
      <w:tab/>
      <w:t>2015</w:t>
    </w:r>
  </w:p>
  <w:p w:rsidR="00E12556" w:rsidRDefault="00E12556" w:rsidP="003A6B38">
    <w:pPr>
      <w:pStyle w:val="Zpat"/>
      <w:tabs>
        <w:tab w:val="clear" w:pos="4536"/>
        <w:tab w:val="clear" w:pos="9072"/>
        <w:tab w:val="center" w:pos="4820"/>
        <w:tab w:val="right" w:pos="963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56" w:rsidRDefault="00701300"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rsidR="00E12556">
      <w:tab/>
    </w:r>
    <w:r w:rsidR="00E12556">
      <w:tab/>
    </w:r>
    <w:r w:rsidR="00E12556" w:rsidRPr="00DC5B3B">
      <w:t xml:space="preserve">                              </w:t>
    </w:r>
  </w:p>
  <w:p w:rsidR="00E12556" w:rsidRDefault="00E12556"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w:t>
    </w:r>
    <w:r w:rsidR="00C05C38">
      <w:rPr>
        <w:rFonts w:ascii="Arial" w:hAnsi="Arial" w:cs="Arial"/>
        <w:sz w:val="16"/>
        <w:szCs w:val="16"/>
      </w:rPr>
      <w:t>5</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A0" w:rsidRDefault="00B42AA0" w:rsidP="00E71A58">
      <w:r>
        <w:separator/>
      </w:r>
    </w:p>
  </w:footnote>
  <w:footnote w:type="continuationSeparator" w:id="0">
    <w:p w:rsidR="00B42AA0" w:rsidRDefault="00B42AA0"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56" w:rsidRPr="00AD306C" w:rsidRDefault="00E12556"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Vybrané údaje o sociálním zabezpečení za rok 201</w:t>
    </w:r>
    <w:r w:rsidR="00C05C38">
      <w:rPr>
        <w:rFonts w:ascii="Arial" w:hAnsi="Arial" w:cs="Arial"/>
        <w:sz w:val="16"/>
        <w:szCs w:val="16"/>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56" w:rsidRPr="00DC5B3B" w:rsidRDefault="00E12556"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Vybrané údaje o sociálním zabezpečení za rok 201</w:t>
    </w:r>
    <w:r w:rsidR="00C05C38">
      <w:rPr>
        <w:rFonts w:ascii="Arial" w:hAnsi="Arial" w:cs="Arial"/>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587"/>
    <w:multiLevelType w:val="singleLevel"/>
    <w:tmpl w:val="6554D7DE"/>
    <w:lvl w:ilvl="0">
      <w:numFmt w:val="bullet"/>
      <w:lvlText w:val="-"/>
      <w:lvlJc w:val="left"/>
      <w:pPr>
        <w:tabs>
          <w:tab w:val="num" w:pos="1068"/>
        </w:tabs>
        <w:ind w:left="1068" w:hanging="360"/>
      </w:pPr>
      <w:rPr>
        <w:rFonts w:ascii="Times New Roman" w:hAnsi="Times New Roman" w:hint="default"/>
      </w:rPr>
    </w:lvl>
  </w:abstractNum>
  <w:abstractNum w:abstractNumId="1">
    <w:nsid w:val="0A6C71F7"/>
    <w:multiLevelType w:val="hybridMultilevel"/>
    <w:tmpl w:val="C6F43228"/>
    <w:lvl w:ilvl="0" w:tplc="04050001">
      <w:start w:val="1"/>
      <w:numFmt w:val="bullet"/>
      <w:lvlText w:val=""/>
      <w:lvlJc w:val="left"/>
      <w:pPr>
        <w:tabs>
          <w:tab w:val="num" w:pos="814"/>
        </w:tabs>
        <w:ind w:left="814" w:hanging="360"/>
      </w:pPr>
      <w:rPr>
        <w:rFonts w:ascii="Symbol" w:hAnsi="Symbol" w:hint="default"/>
      </w:rPr>
    </w:lvl>
    <w:lvl w:ilvl="1" w:tplc="04050003" w:tentative="1">
      <w:start w:val="1"/>
      <w:numFmt w:val="bullet"/>
      <w:lvlText w:val="o"/>
      <w:lvlJc w:val="left"/>
      <w:pPr>
        <w:tabs>
          <w:tab w:val="num" w:pos="1534"/>
        </w:tabs>
        <w:ind w:left="1534" w:hanging="360"/>
      </w:pPr>
      <w:rPr>
        <w:rFonts w:ascii="Courier New" w:hAnsi="Courier New" w:hint="default"/>
      </w:rPr>
    </w:lvl>
    <w:lvl w:ilvl="2" w:tplc="04050005" w:tentative="1">
      <w:start w:val="1"/>
      <w:numFmt w:val="bullet"/>
      <w:lvlText w:val=""/>
      <w:lvlJc w:val="left"/>
      <w:pPr>
        <w:tabs>
          <w:tab w:val="num" w:pos="2254"/>
        </w:tabs>
        <w:ind w:left="2254" w:hanging="360"/>
      </w:pPr>
      <w:rPr>
        <w:rFonts w:ascii="Wingdings" w:hAnsi="Wingdings" w:hint="default"/>
      </w:rPr>
    </w:lvl>
    <w:lvl w:ilvl="3" w:tplc="04050001" w:tentative="1">
      <w:start w:val="1"/>
      <w:numFmt w:val="bullet"/>
      <w:lvlText w:val=""/>
      <w:lvlJc w:val="left"/>
      <w:pPr>
        <w:tabs>
          <w:tab w:val="num" w:pos="2974"/>
        </w:tabs>
        <w:ind w:left="2974" w:hanging="360"/>
      </w:pPr>
      <w:rPr>
        <w:rFonts w:ascii="Symbol" w:hAnsi="Symbol" w:hint="default"/>
      </w:rPr>
    </w:lvl>
    <w:lvl w:ilvl="4" w:tplc="04050003" w:tentative="1">
      <w:start w:val="1"/>
      <w:numFmt w:val="bullet"/>
      <w:lvlText w:val="o"/>
      <w:lvlJc w:val="left"/>
      <w:pPr>
        <w:tabs>
          <w:tab w:val="num" w:pos="3694"/>
        </w:tabs>
        <w:ind w:left="3694" w:hanging="360"/>
      </w:pPr>
      <w:rPr>
        <w:rFonts w:ascii="Courier New" w:hAnsi="Courier New" w:hint="default"/>
      </w:rPr>
    </w:lvl>
    <w:lvl w:ilvl="5" w:tplc="04050005" w:tentative="1">
      <w:start w:val="1"/>
      <w:numFmt w:val="bullet"/>
      <w:lvlText w:val=""/>
      <w:lvlJc w:val="left"/>
      <w:pPr>
        <w:tabs>
          <w:tab w:val="num" w:pos="4414"/>
        </w:tabs>
        <w:ind w:left="4414" w:hanging="360"/>
      </w:pPr>
      <w:rPr>
        <w:rFonts w:ascii="Wingdings" w:hAnsi="Wingdings" w:hint="default"/>
      </w:rPr>
    </w:lvl>
    <w:lvl w:ilvl="6" w:tplc="04050001" w:tentative="1">
      <w:start w:val="1"/>
      <w:numFmt w:val="bullet"/>
      <w:lvlText w:val=""/>
      <w:lvlJc w:val="left"/>
      <w:pPr>
        <w:tabs>
          <w:tab w:val="num" w:pos="5134"/>
        </w:tabs>
        <w:ind w:left="5134" w:hanging="360"/>
      </w:pPr>
      <w:rPr>
        <w:rFonts w:ascii="Symbol" w:hAnsi="Symbol" w:hint="default"/>
      </w:rPr>
    </w:lvl>
    <w:lvl w:ilvl="7" w:tplc="04050003" w:tentative="1">
      <w:start w:val="1"/>
      <w:numFmt w:val="bullet"/>
      <w:lvlText w:val="o"/>
      <w:lvlJc w:val="left"/>
      <w:pPr>
        <w:tabs>
          <w:tab w:val="num" w:pos="5854"/>
        </w:tabs>
        <w:ind w:left="5854" w:hanging="360"/>
      </w:pPr>
      <w:rPr>
        <w:rFonts w:ascii="Courier New" w:hAnsi="Courier New" w:hint="default"/>
      </w:rPr>
    </w:lvl>
    <w:lvl w:ilvl="8" w:tplc="04050005" w:tentative="1">
      <w:start w:val="1"/>
      <w:numFmt w:val="bullet"/>
      <w:lvlText w:val=""/>
      <w:lvlJc w:val="left"/>
      <w:pPr>
        <w:tabs>
          <w:tab w:val="num" w:pos="6574"/>
        </w:tabs>
        <w:ind w:left="6574" w:hanging="360"/>
      </w:pPr>
      <w:rPr>
        <w:rFonts w:ascii="Wingdings" w:hAnsi="Wingdings" w:hint="default"/>
      </w:rPr>
    </w:lvl>
  </w:abstractNum>
  <w:abstractNum w:abstractNumId="2">
    <w:nsid w:val="11343A93"/>
    <w:multiLevelType w:val="hybridMultilevel"/>
    <w:tmpl w:val="B98EF3E6"/>
    <w:lvl w:ilvl="0" w:tplc="578C2E40">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
    <w:nsid w:val="12B73A33"/>
    <w:multiLevelType w:val="multilevel"/>
    <w:tmpl w:val="DA94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B2AED"/>
    <w:multiLevelType w:val="multilevel"/>
    <w:tmpl w:val="E21E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E6403"/>
    <w:multiLevelType w:val="singleLevel"/>
    <w:tmpl w:val="2DEE4B90"/>
    <w:lvl w:ilvl="0">
      <w:start w:val="1"/>
      <w:numFmt w:val="decimal"/>
      <w:lvlText w:val="%1. "/>
      <w:legacy w:legacy="1" w:legacySpace="0" w:legacyIndent="283"/>
      <w:lvlJc w:val="left"/>
      <w:pPr>
        <w:ind w:left="283" w:hanging="283"/>
      </w:pPr>
      <w:rPr>
        <w:b w:val="0"/>
        <w:i w:val="0"/>
        <w:sz w:val="24"/>
      </w:rPr>
    </w:lvl>
  </w:abstractNum>
  <w:abstractNum w:abstractNumId="6">
    <w:nsid w:val="2DF30E53"/>
    <w:multiLevelType w:val="multilevel"/>
    <w:tmpl w:val="937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A2B05"/>
    <w:multiLevelType w:val="multilevel"/>
    <w:tmpl w:val="2370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C056F"/>
    <w:multiLevelType w:val="multilevel"/>
    <w:tmpl w:val="6830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3C17D7"/>
    <w:multiLevelType w:val="hybridMultilevel"/>
    <w:tmpl w:val="93D83B4E"/>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37627B"/>
    <w:multiLevelType w:val="multilevel"/>
    <w:tmpl w:val="9D10E6EE"/>
    <w:lvl w:ilvl="0">
      <w:start w:val="6"/>
      <w:numFmt w:val="bullet"/>
      <w:pStyle w:val="odrky"/>
      <w:lvlText w:val="-"/>
      <w:lvlJc w:val="left"/>
      <w:pPr>
        <w:tabs>
          <w:tab w:val="num" w:pos="170"/>
        </w:tabs>
        <w:ind w:left="170" w:hanging="170"/>
      </w:pPr>
      <w:rPr>
        <w:rFonts w:ascii="Arial" w:eastAsia="Times New Roman" w:hAnsi="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EC1D8C"/>
    <w:multiLevelType w:val="multilevel"/>
    <w:tmpl w:val="66EE4E76"/>
    <w:lvl w:ilvl="0">
      <w:start w:val="1"/>
      <w:numFmt w:val="bullet"/>
      <w:lvlText w:val=""/>
      <w:lvlJc w:val="left"/>
      <w:pPr>
        <w:tabs>
          <w:tab w:val="num" w:pos="170"/>
        </w:tabs>
        <w:ind w:left="170" w:hanging="17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6103DA"/>
    <w:multiLevelType w:val="hybridMultilevel"/>
    <w:tmpl w:val="4350A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491F9F"/>
    <w:multiLevelType w:val="multilevel"/>
    <w:tmpl w:val="BFB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
  </w:num>
  <w:num w:numId="5">
    <w:abstractNumId w:val="5"/>
  </w:num>
  <w:num w:numId="6">
    <w:abstractNumId w:val="0"/>
  </w:num>
  <w:num w:numId="7">
    <w:abstractNumId w:val="14"/>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3"/>
  </w:num>
  <w:num w:numId="13">
    <w:abstractNumId w:val="4"/>
  </w:num>
  <w:num w:numId="14">
    <w:abstractNumId w:val="13"/>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11265">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8A4331"/>
    <w:rsid w:val="000015FA"/>
    <w:rsid w:val="000074D6"/>
    <w:rsid w:val="0000767A"/>
    <w:rsid w:val="00007B5D"/>
    <w:rsid w:val="00010702"/>
    <w:rsid w:val="000107CC"/>
    <w:rsid w:val="00010BB2"/>
    <w:rsid w:val="0001285A"/>
    <w:rsid w:val="0002591A"/>
    <w:rsid w:val="00026DBB"/>
    <w:rsid w:val="0004599B"/>
    <w:rsid w:val="0004694F"/>
    <w:rsid w:val="0005304E"/>
    <w:rsid w:val="00062EC5"/>
    <w:rsid w:val="00075EF7"/>
    <w:rsid w:val="000809BB"/>
    <w:rsid w:val="00087634"/>
    <w:rsid w:val="00097762"/>
    <w:rsid w:val="000A08C7"/>
    <w:rsid w:val="000A1183"/>
    <w:rsid w:val="000B4745"/>
    <w:rsid w:val="000B5CE9"/>
    <w:rsid w:val="000C3408"/>
    <w:rsid w:val="000C769E"/>
    <w:rsid w:val="000D1CE9"/>
    <w:rsid w:val="000D21E1"/>
    <w:rsid w:val="000D407A"/>
    <w:rsid w:val="000E6AD2"/>
    <w:rsid w:val="000F651D"/>
    <w:rsid w:val="00104685"/>
    <w:rsid w:val="001113CC"/>
    <w:rsid w:val="00111C2D"/>
    <w:rsid w:val="00113232"/>
    <w:rsid w:val="00124491"/>
    <w:rsid w:val="001405FA"/>
    <w:rsid w:val="00140EAD"/>
    <w:rsid w:val="001425C3"/>
    <w:rsid w:val="00142BBF"/>
    <w:rsid w:val="00143E77"/>
    <w:rsid w:val="00144093"/>
    <w:rsid w:val="00151640"/>
    <w:rsid w:val="001565AD"/>
    <w:rsid w:val="00162D2C"/>
    <w:rsid w:val="0016319C"/>
    <w:rsid w:val="00163793"/>
    <w:rsid w:val="00165A64"/>
    <w:rsid w:val="00167EA1"/>
    <w:rsid w:val="00170475"/>
    <w:rsid w:val="001714F2"/>
    <w:rsid w:val="0017223B"/>
    <w:rsid w:val="00172743"/>
    <w:rsid w:val="0018196D"/>
    <w:rsid w:val="00185010"/>
    <w:rsid w:val="00191F26"/>
    <w:rsid w:val="0019286E"/>
    <w:rsid w:val="00192CB4"/>
    <w:rsid w:val="0019325F"/>
    <w:rsid w:val="00193560"/>
    <w:rsid w:val="001939E7"/>
    <w:rsid w:val="001A3327"/>
    <w:rsid w:val="001A552F"/>
    <w:rsid w:val="001A7736"/>
    <w:rsid w:val="001A7BF6"/>
    <w:rsid w:val="001B0804"/>
    <w:rsid w:val="001B3110"/>
    <w:rsid w:val="001C111F"/>
    <w:rsid w:val="001C2372"/>
    <w:rsid w:val="001E03F0"/>
    <w:rsid w:val="001E7014"/>
    <w:rsid w:val="001F4597"/>
    <w:rsid w:val="001F5982"/>
    <w:rsid w:val="002003DA"/>
    <w:rsid w:val="0020041A"/>
    <w:rsid w:val="0020635D"/>
    <w:rsid w:val="0020776A"/>
    <w:rsid w:val="00207CBE"/>
    <w:rsid w:val="00210AA5"/>
    <w:rsid w:val="00212161"/>
    <w:rsid w:val="0022139E"/>
    <w:rsid w:val="0022397F"/>
    <w:rsid w:val="002252E0"/>
    <w:rsid w:val="002255F6"/>
    <w:rsid w:val="002257D2"/>
    <w:rsid w:val="0022684D"/>
    <w:rsid w:val="00226B6B"/>
    <w:rsid w:val="00230E52"/>
    <w:rsid w:val="00231687"/>
    <w:rsid w:val="00232835"/>
    <w:rsid w:val="00235DCE"/>
    <w:rsid w:val="00236443"/>
    <w:rsid w:val="002416AF"/>
    <w:rsid w:val="002436BA"/>
    <w:rsid w:val="00244A15"/>
    <w:rsid w:val="002472A0"/>
    <w:rsid w:val="0024799E"/>
    <w:rsid w:val="00252970"/>
    <w:rsid w:val="00264C1E"/>
    <w:rsid w:val="00267E97"/>
    <w:rsid w:val="00270BEB"/>
    <w:rsid w:val="00272569"/>
    <w:rsid w:val="002800C0"/>
    <w:rsid w:val="00286DCE"/>
    <w:rsid w:val="00286F19"/>
    <w:rsid w:val="00287768"/>
    <w:rsid w:val="002A39F8"/>
    <w:rsid w:val="002A7E14"/>
    <w:rsid w:val="002B00A9"/>
    <w:rsid w:val="002B4E91"/>
    <w:rsid w:val="002B77B1"/>
    <w:rsid w:val="002C43BD"/>
    <w:rsid w:val="002D34E8"/>
    <w:rsid w:val="002D5D83"/>
    <w:rsid w:val="002E02A1"/>
    <w:rsid w:val="002E44F4"/>
    <w:rsid w:val="002E6755"/>
    <w:rsid w:val="002F4B0C"/>
    <w:rsid w:val="002F532A"/>
    <w:rsid w:val="003003B4"/>
    <w:rsid w:val="0030192A"/>
    <w:rsid w:val="00304771"/>
    <w:rsid w:val="00306408"/>
    <w:rsid w:val="00306C5B"/>
    <w:rsid w:val="003209D6"/>
    <w:rsid w:val="0032532F"/>
    <w:rsid w:val="003328E7"/>
    <w:rsid w:val="00336F1A"/>
    <w:rsid w:val="003378C4"/>
    <w:rsid w:val="00337943"/>
    <w:rsid w:val="00350DC6"/>
    <w:rsid w:val="003657F3"/>
    <w:rsid w:val="00374075"/>
    <w:rsid w:val="0037432C"/>
    <w:rsid w:val="00375980"/>
    <w:rsid w:val="003761C3"/>
    <w:rsid w:val="00376E64"/>
    <w:rsid w:val="003776C8"/>
    <w:rsid w:val="003803FD"/>
    <w:rsid w:val="00385D98"/>
    <w:rsid w:val="00393D57"/>
    <w:rsid w:val="003A2B4D"/>
    <w:rsid w:val="003A478C"/>
    <w:rsid w:val="003A5525"/>
    <w:rsid w:val="003A6B38"/>
    <w:rsid w:val="003B29A3"/>
    <w:rsid w:val="003B5A32"/>
    <w:rsid w:val="003B6BD0"/>
    <w:rsid w:val="003B7B5A"/>
    <w:rsid w:val="003C1488"/>
    <w:rsid w:val="003C6CC2"/>
    <w:rsid w:val="003C6EFD"/>
    <w:rsid w:val="003D375C"/>
    <w:rsid w:val="003D7048"/>
    <w:rsid w:val="003E1690"/>
    <w:rsid w:val="003E5B36"/>
    <w:rsid w:val="003E6C96"/>
    <w:rsid w:val="003F313C"/>
    <w:rsid w:val="003F318A"/>
    <w:rsid w:val="003F52E4"/>
    <w:rsid w:val="003F6CD6"/>
    <w:rsid w:val="004004F4"/>
    <w:rsid w:val="00400E62"/>
    <w:rsid w:val="0040140A"/>
    <w:rsid w:val="00401AD6"/>
    <w:rsid w:val="004046B8"/>
    <w:rsid w:val="00412511"/>
    <w:rsid w:val="004136FD"/>
    <w:rsid w:val="00421DC9"/>
    <w:rsid w:val="00423060"/>
    <w:rsid w:val="0042669E"/>
    <w:rsid w:val="00430D93"/>
    <w:rsid w:val="00432043"/>
    <w:rsid w:val="004338AA"/>
    <w:rsid w:val="00435D17"/>
    <w:rsid w:val="00436520"/>
    <w:rsid w:val="004402A5"/>
    <w:rsid w:val="00445632"/>
    <w:rsid w:val="00456774"/>
    <w:rsid w:val="00460CAF"/>
    <w:rsid w:val="00467094"/>
    <w:rsid w:val="00471EAF"/>
    <w:rsid w:val="0047324F"/>
    <w:rsid w:val="00473D97"/>
    <w:rsid w:val="00476265"/>
    <w:rsid w:val="0048086F"/>
    <w:rsid w:val="0048139F"/>
    <w:rsid w:val="004830CC"/>
    <w:rsid w:val="00492751"/>
    <w:rsid w:val="004A77DF"/>
    <w:rsid w:val="004B4975"/>
    <w:rsid w:val="004B55B7"/>
    <w:rsid w:val="004C0DAA"/>
    <w:rsid w:val="004C3867"/>
    <w:rsid w:val="004C4CD0"/>
    <w:rsid w:val="004C5664"/>
    <w:rsid w:val="004C69BE"/>
    <w:rsid w:val="004C70DC"/>
    <w:rsid w:val="004D0211"/>
    <w:rsid w:val="004D2FB8"/>
    <w:rsid w:val="004D5336"/>
    <w:rsid w:val="004E7B4A"/>
    <w:rsid w:val="004F06F5"/>
    <w:rsid w:val="005108C0"/>
    <w:rsid w:val="00511873"/>
    <w:rsid w:val="005128ED"/>
    <w:rsid w:val="00513B7E"/>
    <w:rsid w:val="0051547E"/>
    <w:rsid w:val="00525137"/>
    <w:rsid w:val="005251DD"/>
    <w:rsid w:val="005301F4"/>
    <w:rsid w:val="0053471C"/>
    <w:rsid w:val="00545314"/>
    <w:rsid w:val="00546DC5"/>
    <w:rsid w:val="005611C8"/>
    <w:rsid w:val="005633D5"/>
    <w:rsid w:val="0056499C"/>
    <w:rsid w:val="00565A12"/>
    <w:rsid w:val="00565F6F"/>
    <w:rsid w:val="00567A60"/>
    <w:rsid w:val="0057000C"/>
    <w:rsid w:val="00571A58"/>
    <w:rsid w:val="00574028"/>
    <w:rsid w:val="005762A0"/>
    <w:rsid w:val="005774A2"/>
    <w:rsid w:val="0057785F"/>
    <w:rsid w:val="005800D8"/>
    <w:rsid w:val="00581153"/>
    <w:rsid w:val="00582E38"/>
    <w:rsid w:val="00583E44"/>
    <w:rsid w:val="00583FFD"/>
    <w:rsid w:val="00584345"/>
    <w:rsid w:val="00593152"/>
    <w:rsid w:val="00595472"/>
    <w:rsid w:val="0059555B"/>
    <w:rsid w:val="005A057D"/>
    <w:rsid w:val="005A0D04"/>
    <w:rsid w:val="005A21E0"/>
    <w:rsid w:val="005A2BF3"/>
    <w:rsid w:val="005A630A"/>
    <w:rsid w:val="005B2C5A"/>
    <w:rsid w:val="005B4586"/>
    <w:rsid w:val="005B51ED"/>
    <w:rsid w:val="005C5530"/>
    <w:rsid w:val="005D4F6C"/>
    <w:rsid w:val="005D5802"/>
    <w:rsid w:val="005D7081"/>
    <w:rsid w:val="005E0178"/>
    <w:rsid w:val="005F0963"/>
    <w:rsid w:val="005F171D"/>
    <w:rsid w:val="0060226E"/>
    <w:rsid w:val="00603D03"/>
    <w:rsid w:val="00604307"/>
    <w:rsid w:val="0060487F"/>
    <w:rsid w:val="006069BC"/>
    <w:rsid w:val="00610FA2"/>
    <w:rsid w:val="00611D17"/>
    <w:rsid w:val="0061392F"/>
    <w:rsid w:val="00615839"/>
    <w:rsid w:val="00616F6B"/>
    <w:rsid w:val="00624093"/>
    <w:rsid w:val="0062609C"/>
    <w:rsid w:val="006304F6"/>
    <w:rsid w:val="00632854"/>
    <w:rsid w:val="00634F4A"/>
    <w:rsid w:val="0063514C"/>
    <w:rsid w:val="006359AB"/>
    <w:rsid w:val="006404A7"/>
    <w:rsid w:val="00640572"/>
    <w:rsid w:val="006451E4"/>
    <w:rsid w:val="006527A0"/>
    <w:rsid w:val="006570DA"/>
    <w:rsid w:val="00657E87"/>
    <w:rsid w:val="006648D8"/>
    <w:rsid w:val="006668D0"/>
    <w:rsid w:val="006675A1"/>
    <w:rsid w:val="006710C9"/>
    <w:rsid w:val="00672363"/>
    <w:rsid w:val="006726A9"/>
    <w:rsid w:val="00675E37"/>
    <w:rsid w:val="00677BD1"/>
    <w:rsid w:val="0068260E"/>
    <w:rsid w:val="00682F01"/>
    <w:rsid w:val="00695BEF"/>
    <w:rsid w:val="006977F6"/>
    <w:rsid w:val="00697A13"/>
    <w:rsid w:val="006A109C"/>
    <w:rsid w:val="006B238F"/>
    <w:rsid w:val="006B529D"/>
    <w:rsid w:val="006B678F"/>
    <w:rsid w:val="006B78D8"/>
    <w:rsid w:val="006C113F"/>
    <w:rsid w:val="006C1F14"/>
    <w:rsid w:val="006D1029"/>
    <w:rsid w:val="006D15FB"/>
    <w:rsid w:val="006D61F6"/>
    <w:rsid w:val="006E01A9"/>
    <w:rsid w:val="006E19AC"/>
    <w:rsid w:val="006E279A"/>
    <w:rsid w:val="006E313B"/>
    <w:rsid w:val="006F33BA"/>
    <w:rsid w:val="00700828"/>
    <w:rsid w:val="00700A57"/>
    <w:rsid w:val="00701300"/>
    <w:rsid w:val="0070202F"/>
    <w:rsid w:val="0070387F"/>
    <w:rsid w:val="007109D8"/>
    <w:rsid w:val="00712F61"/>
    <w:rsid w:val="0071422E"/>
    <w:rsid w:val="007211F5"/>
    <w:rsid w:val="00726FF3"/>
    <w:rsid w:val="00730AE8"/>
    <w:rsid w:val="00732B9F"/>
    <w:rsid w:val="00737F9F"/>
    <w:rsid w:val="0074003D"/>
    <w:rsid w:val="00741493"/>
    <w:rsid w:val="00742C4C"/>
    <w:rsid w:val="00745F78"/>
    <w:rsid w:val="00751222"/>
    <w:rsid w:val="00751735"/>
    <w:rsid w:val="00752180"/>
    <w:rsid w:val="00755D3A"/>
    <w:rsid w:val="007568F2"/>
    <w:rsid w:val="007609C6"/>
    <w:rsid w:val="0076193A"/>
    <w:rsid w:val="007625A4"/>
    <w:rsid w:val="00770519"/>
    <w:rsid w:val="007736E0"/>
    <w:rsid w:val="00776527"/>
    <w:rsid w:val="00786CA3"/>
    <w:rsid w:val="00791B54"/>
    <w:rsid w:val="007968EB"/>
    <w:rsid w:val="007A06E8"/>
    <w:rsid w:val="007A6DE9"/>
    <w:rsid w:val="007B0F78"/>
    <w:rsid w:val="007B0F80"/>
    <w:rsid w:val="007B213A"/>
    <w:rsid w:val="007B47EE"/>
    <w:rsid w:val="007B60D9"/>
    <w:rsid w:val="007D0D2A"/>
    <w:rsid w:val="007D3D51"/>
    <w:rsid w:val="007D4EAD"/>
    <w:rsid w:val="007D5552"/>
    <w:rsid w:val="007D580C"/>
    <w:rsid w:val="007E12CE"/>
    <w:rsid w:val="007E7E61"/>
    <w:rsid w:val="00801892"/>
    <w:rsid w:val="0080395F"/>
    <w:rsid w:val="008051FD"/>
    <w:rsid w:val="00811BB4"/>
    <w:rsid w:val="008202F7"/>
    <w:rsid w:val="0082092C"/>
    <w:rsid w:val="00821FF6"/>
    <w:rsid w:val="008252A2"/>
    <w:rsid w:val="0083143E"/>
    <w:rsid w:val="00831FC9"/>
    <w:rsid w:val="00834FAA"/>
    <w:rsid w:val="00836086"/>
    <w:rsid w:val="008429E4"/>
    <w:rsid w:val="00846F96"/>
    <w:rsid w:val="00852269"/>
    <w:rsid w:val="008570E4"/>
    <w:rsid w:val="008600D2"/>
    <w:rsid w:val="00865CEB"/>
    <w:rsid w:val="00870333"/>
    <w:rsid w:val="008747D9"/>
    <w:rsid w:val="00874F23"/>
    <w:rsid w:val="00876086"/>
    <w:rsid w:val="00884C3D"/>
    <w:rsid w:val="00886630"/>
    <w:rsid w:val="00886A8B"/>
    <w:rsid w:val="00890D04"/>
    <w:rsid w:val="00892136"/>
    <w:rsid w:val="00893381"/>
    <w:rsid w:val="008936B0"/>
    <w:rsid w:val="008A3943"/>
    <w:rsid w:val="008A4331"/>
    <w:rsid w:val="008A582A"/>
    <w:rsid w:val="008A7B73"/>
    <w:rsid w:val="008B06A5"/>
    <w:rsid w:val="008B3CCF"/>
    <w:rsid w:val="008B7C02"/>
    <w:rsid w:val="008C0E88"/>
    <w:rsid w:val="008C3210"/>
    <w:rsid w:val="008C4674"/>
    <w:rsid w:val="008C5609"/>
    <w:rsid w:val="008D2A16"/>
    <w:rsid w:val="008D4A94"/>
    <w:rsid w:val="008D7095"/>
    <w:rsid w:val="008E31FF"/>
    <w:rsid w:val="008F739D"/>
    <w:rsid w:val="009003A8"/>
    <w:rsid w:val="009004D5"/>
    <w:rsid w:val="00902EFF"/>
    <w:rsid w:val="0090382A"/>
    <w:rsid w:val="00921090"/>
    <w:rsid w:val="00921509"/>
    <w:rsid w:val="00921B68"/>
    <w:rsid w:val="00921F14"/>
    <w:rsid w:val="0092547A"/>
    <w:rsid w:val="0092586B"/>
    <w:rsid w:val="00927F6A"/>
    <w:rsid w:val="0093263D"/>
    <w:rsid w:val="00933B34"/>
    <w:rsid w:val="009356E9"/>
    <w:rsid w:val="009404CE"/>
    <w:rsid w:val="00941AA1"/>
    <w:rsid w:val="009425CE"/>
    <w:rsid w:val="0094427A"/>
    <w:rsid w:val="00950CEC"/>
    <w:rsid w:val="00953B30"/>
    <w:rsid w:val="00953DEC"/>
    <w:rsid w:val="009549C8"/>
    <w:rsid w:val="00956792"/>
    <w:rsid w:val="00957EFD"/>
    <w:rsid w:val="00961980"/>
    <w:rsid w:val="0096469B"/>
    <w:rsid w:val="00970283"/>
    <w:rsid w:val="00973454"/>
    <w:rsid w:val="00974923"/>
    <w:rsid w:val="009749A4"/>
    <w:rsid w:val="00976FC9"/>
    <w:rsid w:val="00981C59"/>
    <w:rsid w:val="00983B96"/>
    <w:rsid w:val="00983C02"/>
    <w:rsid w:val="00987CEB"/>
    <w:rsid w:val="00992400"/>
    <w:rsid w:val="00995B67"/>
    <w:rsid w:val="00996AF4"/>
    <w:rsid w:val="009A3E64"/>
    <w:rsid w:val="009B0977"/>
    <w:rsid w:val="009B6FD3"/>
    <w:rsid w:val="009B750D"/>
    <w:rsid w:val="009C0617"/>
    <w:rsid w:val="009C2579"/>
    <w:rsid w:val="009C43C8"/>
    <w:rsid w:val="009C5EDA"/>
    <w:rsid w:val="009C66F5"/>
    <w:rsid w:val="009D633C"/>
    <w:rsid w:val="009E488E"/>
    <w:rsid w:val="009E5596"/>
    <w:rsid w:val="009E6FBF"/>
    <w:rsid w:val="00A01B53"/>
    <w:rsid w:val="00A01E47"/>
    <w:rsid w:val="00A01EDD"/>
    <w:rsid w:val="00A03DF6"/>
    <w:rsid w:val="00A04CF6"/>
    <w:rsid w:val="00A07028"/>
    <w:rsid w:val="00A10D66"/>
    <w:rsid w:val="00A116C2"/>
    <w:rsid w:val="00A17341"/>
    <w:rsid w:val="00A1749B"/>
    <w:rsid w:val="00A17D70"/>
    <w:rsid w:val="00A200ED"/>
    <w:rsid w:val="00A20ADB"/>
    <w:rsid w:val="00A221F2"/>
    <w:rsid w:val="00A23E43"/>
    <w:rsid w:val="00A27938"/>
    <w:rsid w:val="00A31E79"/>
    <w:rsid w:val="00A339AC"/>
    <w:rsid w:val="00A33EFD"/>
    <w:rsid w:val="00A35033"/>
    <w:rsid w:val="00A40818"/>
    <w:rsid w:val="00A44E44"/>
    <w:rsid w:val="00A46DE0"/>
    <w:rsid w:val="00A51ADD"/>
    <w:rsid w:val="00A5311C"/>
    <w:rsid w:val="00A55D99"/>
    <w:rsid w:val="00A62CE1"/>
    <w:rsid w:val="00A632EB"/>
    <w:rsid w:val="00A648A9"/>
    <w:rsid w:val="00A65FA8"/>
    <w:rsid w:val="00A66955"/>
    <w:rsid w:val="00A67899"/>
    <w:rsid w:val="00A67E6F"/>
    <w:rsid w:val="00A70621"/>
    <w:rsid w:val="00A71687"/>
    <w:rsid w:val="00A719B4"/>
    <w:rsid w:val="00A72FEB"/>
    <w:rsid w:val="00A731B7"/>
    <w:rsid w:val="00A74199"/>
    <w:rsid w:val="00A75E40"/>
    <w:rsid w:val="00A857C0"/>
    <w:rsid w:val="00A90C76"/>
    <w:rsid w:val="00A91092"/>
    <w:rsid w:val="00A94C93"/>
    <w:rsid w:val="00A9664D"/>
    <w:rsid w:val="00AA559A"/>
    <w:rsid w:val="00AB227D"/>
    <w:rsid w:val="00AB2AF1"/>
    <w:rsid w:val="00AB2DE2"/>
    <w:rsid w:val="00AC1416"/>
    <w:rsid w:val="00AD306C"/>
    <w:rsid w:val="00AE6FBA"/>
    <w:rsid w:val="00AF0530"/>
    <w:rsid w:val="00B00FAA"/>
    <w:rsid w:val="00B01CAD"/>
    <w:rsid w:val="00B025F2"/>
    <w:rsid w:val="00B0714F"/>
    <w:rsid w:val="00B14F3A"/>
    <w:rsid w:val="00B1581D"/>
    <w:rsid w:val="00B16E3E"/>
    <w:rsid w:val="00B17448"/>
    <w:rsid w:val="00B17E71"/>
    <w:rsid w:val="00B17FDE"/>
    <w:rsid w:val="00B27096"/>
    <w:rsid w:val="00B32DDB"/>
    <w:rsid w:val="00B4203F"/>
    <w:rsid w:val="00B42AA0"/>
    <w:rsid w:val="00B4543F"/>
    <w:rsid w:val="00B64726"/>
    <w:rsid w:val="00B6608F"/>
    <w:rsid w:val="00B70D02"/>
    <w:rsid w:val="00B75EDD"/>
    <w:rsid w:val="00B7630E"/>
    <w:rsid w:val="00B76D1E"/>
    <w:rsid w:val="00B83702"/>
    <w:rsid w:val="00B93684"/>
    <w:rsid w:val="00B95940"/>
    <w:rsid w:val="00B97774"/>
    <w:rsid w:val="00B97BEC"/>
    <w:rsid w:val="00BA0463"/>
    <w:rsid w:val="00BA493B"/>
    <w:rsid w:val="00BB3675"/>
    <w:rsid w:val="00BB5796"/>
    <w:rsid w:val="00BB73EE"/>
    <w:rsid w:val="00BC3543"/>
    <w:rsid w:val="00BC7741"/>
    <w:rsid w:val="00BD1226"/>
    <w:rsid w:val="00BD366B"/>
    <w:rsid w:val="00BD4613"/>
    <w:rsid w:val="00BD6A6C"/>
    <w:rsid w:val="00BD6D50"/>
    <w:rsid w:val="00BD77E6"/>
    <w:rsid w:val="00BE5327"/>
    <w:rsid w:val="00BF1B33"/>
    <w:rsid w:val="00C00E7E"/>
    <w:rsid w:val="00C05C38"/>
    <w:rsid w:val="00C05CE2"/>
    <w:rsid w:val="00C121D1"/>
    <w:rsid w:val="00C13E0C"/>
    <w:rsid w:val="00C1729E"/>
    <w:rsid w:val="00C17913"/>
    <w:rsid w:val="00C21F94"/>
    <w:rsid w:val="00C2369D"/>
    <w:rsid w:val="00C26121"/>
    <w:rsid w:val="00C327D5"/>
    <w:rsid w:val="00C34969"/>
    <w:rsid w:val="00C43CF3"/>
    <w:rsid w:val="00C4545D"/>
    <w:rsid w:val="00C45C9A"/>
    <w:rsid w:val="00C55ABB"/>
    <w:rsid w:val="00C55C93"/>
    <w:rsid w:val="00C565C2"/>
    <w:rsid w:val="00C56DCC"/>
    <w:rsid w:val="00C579F9"/>
    <w:rsid w:val="00C57B89"/>
    <w:rsid w:val="00C6146A"/>
    <w:rsid w:val="00C62CB9"/>
    <w:rsid w:val="00C65137"/>
    <w:rsid w:val="00C775D6"/>
    <w:rsid w:val="00C80F44"/>
    <w:rsid w:val="00C824C4"/>
    <w:rsid w:val="00C90CF4"/>
    <w:rsid w:val="00C91130"/>
    <w:rsid w:val="00C93389"/>
    <w:rsid w:val="00C93C7E"/>
    <w:rsid w:val="00CA0604"/>
    <w:rsid w:val="00CA6B42"/>
    <w:rsid w:val="00CA7812"/>
    <w:rsid w:val="00CB3BFB"/>
    <w:rsid w:val="00CB4446"/>
    <w:rsid w:val="00CC1837"/>
    <w:rsid w:val="00CC1FD8"/>
    <w:rsid w:val="00CD04D0"/>
    <w:rsid w:val="00CD2AF1"/>
    <w:rsid w:val="00CE2D09"/>
    <w:rsid w:val="00CE4127"/>
    <w:rsid w:val="00CE68CD"/>
    <w:rsid w:val="00CF2C0F"/>
    <w:rsid w:val="00CF363D"/>
    <w:rsid w:val="00CF51EC"/>
    <w:rsid w:val="00D0071D"/>
    <w:rsid w:val="00D03456"/>
    <w:rsid w:val="00D040DD"/>
    <w:rsid w:val="00D20989"/>
    <w:rsid w:val="00D20F09"/>
    <w:rsid w:val="00D26149"/>
    <w:rsid w:val="00D32AAF"/>
    <w:rsid w:val="00D33F8D"/>
    <w:rsid w:val="00D34BDD"/>
    <w:rsid w:val="00D37E61"/>
    <w:rsid w:val="00D41C71"/>
    <w:rsid w:val="00D42AF4"/>
    <w:rsid w:val="00D472AE"/>
    <w:rsid w:val="00D47800"/>
    <w:rsid w:val="00D47AE0"/>
    <w:rsid w:val="00D54136"/>
    <w:rsid w:val="00D63104"/>
    <w:rsid w:val="00D72BE7"/>
    <w:rsid w:val="00D73DB8"/>
    <w:rsid w:val="00D73DD4"/>
    <w:rsid w:val="00D77086"/>
    <w:rsid w:val="00D84544"/>
    <w:rsid w:val="00D85A24"/>
    <w:rsid w:val="00D94983"/>
    <w:rsid w:val="00D96D82"/>
    <w:rsid w:val="00DA010B"/>
    <w:rsid w:val="00DB2526"/>
    <w:rsid w:val="00DB7E42"/>
    <w:rsid w:val="00DC162C"/>
    <w:rsid w:val="00DC34DE"/>
    <w:rsid w:val="00DC3BBA"/>
    <w:rsid w:val="00DC3ED0"/>
    <w:rsid w:val="00DC5B3B"/>
    <w:rsid w:val="00DD45F1"/>
    <w:rsid w:val="00DD7048"/>
    <w:rsid w:val="00DE1B58"/>
    <w:rsid w:val="00DE6511"/>
    <w:rsid w:val="00DF4FCD"/>
    <w:rsid w:val="00E01C0E"/>
    <w:rsid w:val="00E04694"/>
    <w:rsid w:val="00E069D1"/>
    <w:rsid w:val="00E073DB"/>
    <w:rsid w:val="00E102AC"/>
    <w:rsid w:val="00E12556"/>
    <w:rsid w:val="00E1300B"/>
    <w:rsid w:val="00E14433"/>
    <w:rsid w:val="00E2497C"/>
    <w:rsid w:val="00E26C33"/>
    <w:rsid w:val="00E34088"/>
    <w:rsid w:val="00E44CED"/>
    <w:rsid w:val="00E47D1F"/>
    <w:rsid w:val="00E56AF9"/>
    <w:rsid w:val="00E70707"/>
    <w:rsid w:val="00E71141"/>
    <w:rsid w:val="00E7166A"/>
    <w:rsid w:val="00E71A58"/>
    <w:rsid w:val="00E80912"/>
    <w:rsid w:val="00E83A55"/>
    <w:rsid w:val="00E86BC2"/>
    <w:rsid w:val="00E94045"/>
    <w:rsid w:val="00E9566A"/>
    <w:rsid w:val="00E96B6C"/>
    <w:rsid w:val="00EA0C68"/>
    <w:rsid w:val="00EA16CF"/>
    <w:rsid w:val="00EA4479"/>
    <w:rsid w:val="00EA4C56"/>
    <w:rsid w:val="00EA5FC9"/>
    <w:rsid w:val="00EB5D4A"/>
    <w:rsid w:val="00EC5C93"/>
    <w:rsid w:val="00EC67EE"/>
    <w:rsid w:val="00ED286F"/>
    <w:rsid w:val="00ED6E50"/>
    <w:rsid w:val="00EE1262"/>
    <w:rsid w:val="00EE1E9E"/>
    <w:rsid w:val="00EE3521"/>
    <w:rsid w:val="00EE3E78"/>
    <w:rsid w:val="00EE78AF"/>
    <w:rsid w:val="00EF0044"/>
    <w:rsid w:val="00EF035B"/>
    <w:rsid w:val="00EF1F5A"/>
    <w:rsid w:val="00EF4D97"/>
    <w:rsid w:val="00F04811"/>
    <w:rsid w:val="00F0488C"/>
    <w:rsid w:val="00F07C01"/>
    <w:rsid w:val="00F1180C"/>
    <w:rsid w:val="00F15BEF"/>
    <w:rsid w:val="00F168BC"/>
    <w:rsid w:val="00F2239D"/>
    <w:rsid w:val="00F24FAA"/>
    <w:rsid w:val="00F3364D"/>
    <w:rsid w:val="00F35EFF"/>
    <w:rsid w:val="00F406B6"/>
    <w:rsid w:val="00F40EF7"/>
    <w:rsid w:val="00F52BDF"/>
    <w:rsid w:val="00F61C6C"/>
    <w:rsid w:val="00F620DF"/>
    <w:rsid w:val="00F63DDE"/>
    <w:rsid w:val="00F63FB7"/>
    <w:rsid w:val="00F7017B"/>
    <w:rsid w:val="00F73A0C"/>
    <w:rsid w:val="00F76FA7"/>
    <w:rsid w:val="00F81C0C"/>
    <w:rsid w:val="00F83062"/>
    <w:rsid w:val="00F83892"/>
    <w:rsid w:val="00F93227"/>
    <w:rsid w:val="00F93262"/>
    <w:rsid w:val="00F96C15"/>
    <w:rsid w:val="00FA164C"/>
    <w:rsid w:val="00FA2DE5"/>
    <w:rsid w:val="00FA459B"/>
    <w:rsid w:val="00FA7F62"/>
    <w:rsid w:val="00FB0A98"/>
    <w:rsid w:val="00FB1AEA"/>
    <w:rsid w:val="00FB4979"/>
    <w:rsid w:val="00FC0508"/>
    <w:rsid w:val="00FC0E5F"/>
    <w:rsid w:val="00FC1F26"/>
    <w:rsid w:val="00FC35AB"/>
    <w:rsid w:val="00FC400E"/>
    <w:rsid w:val="00FC556B"/>
    <w:rsid w:val="00FC56DE"/>
    <w:rsid w:val="00FD328F"/>
    <w:rsid w:val="00FE2F78"/>
    <w:rsid w:val="00FE42B8"/>
    <w:rsid w:val="00FE4638"/>
    <w:rsid w:val="00FE4DB0"/>
    <w:rsid w:val="00FE4E3E"/>
    <w:rsid w:val="00FF166A"/>
    <w:rsid w:val="00FF2C93"/>
    <w:rsid w:val="00FF3257"/>
    <w:rsid w:val="00FF7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BC3543"/>
    <w:pPr>
      <w:keepNext/>
      <w:keepLines/>
      <w:spacing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BC3543"/>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A01EDD"/>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BC3543"/>
    <w:rPr>
      <w:rFonts w:ascii="Arial" w:eastAsia="MS Gothic" w:hAnsi="Arial"/>
      <w:b/>
      <w:bCs/>
      <w:color w:val="BC091B"/>
      <w:sz w:val="28"/>
      <w:szCs w:val="26"/>
      <w:lang w:bidi="ar-SA"/>
    </w:rPr>
  </w:style>
  <w:style w:type="character" w:customStyle="1" w:styleId="Nadpis3Char">
    <w:name w:val="Nadpis 3 Char"/>
    <w:link w:val="Nadpis3"/>
    <w:uiPriority w:val="9"/>
    <w:rsid w:val="00BC3543"/>
    <w:rPr>
      <w:rFonts w:ascii="Arial" w:eastAsia="MS Gothic" w:hAnsi="Arial"/>
      <w:b/>
      <w:bCs/>
      <w:color w:val="BC091B"/>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Zkladntext">
    <w:name w:val="Body Text"/>
    <w:basedOn w:val="Normln"/>
    <w:link w:val="ZkladntextChar"/>
    <w:rsid w:val="005301F4"/>
    <w:pPr>
      <w:spacing w:line="240" w:lineRule="auto"/>
      <w:jc w:val="both"/>
    </w:pPr>
    <w:rPr>
      <w:rFonts w:ascii="Times New Roman" w:hAnsi="Times New Roman"/>
      <w:sz w:val="24"/>
      <w:szCs w:val="20"/>
    </w:rPr>
  </w:style>
  <w:style w:type="character" w:customStyle="1" w:styleId="ZkladntextChar">
    <w:name w:val="Základní text Char"/>
    <w:link w:val="Zkladntext"/>
    <w:rsid w:val="005301F4"/>
    <w:rPr>
      <w:rFonts w:ascii="Times New Roman" w:eastAsia="Times New Roman" w:hAnsi="Times New Roman"/>
      <w:sz w:val="24"/>
    </w:rPr>
  </w:style>
  <w:style w:type="paragraph" w:customStyle="1" w:styleId="PBA12">
    <w:name w:val="PB_A12"/>
    <w:basedOn w:val="Normln"/>
    <w:rsid w:val="005301F4"/>
    <w:pPr>
      <w:tabs>
        <w:tab w:val="left" w:pos="709"/>
      </w:tabs>
      <w:spacing w:before="120" w:line="312" w:lineRule="auto"/>
      <w:ind w:firstLine="709"/>
      <w:jc w:val="both"/>
    </w:pPr>
    <w:rPr>
      <w:sz w:val="24"/>
    </w:rPr>
  </w:style>
  <w:style w:type="paragraph" w:customStyle="1" w:styleId="Normln0">
    <w:name w:val="Norm‡ln’"/>
    <w:rsid w:val="00811BB4"/>
    <w:rPr>
      <w:rFonts w:ascii="Times New Roman" w:eastAsia="Times New Roman" w:hAnsi="Times New Roman"/>
    </w:rPr>
  </w:style>
  <w:style w:type="paragraph" w:styleId="Normlnweb">
    <w:name w:val="Normal (Web)"/>
    <w:basedOn w:val="Normln"/>
    <w:uiPriority w:val="99"/>
    <w:rsid w:val="00811BB4"/>
    <w:pPr>
      <w:spacing w:before="100" w:beforeAutospacing="1" w:after="100" w:afterAutospacing="1" w:line="240" w:lineRule="auto"/>
    </w:pPr>
    <w:rPr>
      <w:rFonts w:ascii="Times New Roman" w:hAnsi="Times New Roman"/>
      <w:sz w:val="24"/>
    </w:rPr>
  </w:style>
  <w:style w:type="character" w:styleId="Siln">
    <w:name w:val="Strong"/>
    <w:qFormat/>
    <w:rsid w:val="00811BB4"/>
    <w:rPr>
      <w:b/>
      <w:bCs/>
    </w:rPr>
  </w:style>
  <w:style w:type="character" w:customStyle="1" w:styleId="clatext1">
    <w:name w:val="clatext1"/>
    <w:rsid w:val="00811BB4"/>
    <w:rPr>
      <w:rFonts w:ascii="Verdana" w:hAnsi="Verdana" w:hint="default"/>
      <w:b w:val="0"/>
      <w:bCs w:val="0"/>
      <w:color w:val="000000"/>
      <w:sz w:val="20"/>
      <w:szCs w:val="20"/>
    </w:rPr>
  </w:style>
  <w:style w:type="character" w:customStyle="1" w:styleId="akthlavicka1">
    <w:name w:val="akthlavicka1"/>
    <w:basedOn w:val="Standardnpsmoodstavce"/>
    <w:rsid w:val="00811BB4"/>
  </w:style>
  <w:style w:type="paragraph" w:styleId="Zkladntextodsazen">
    <w:name w:val="Body Text Indent"/>
    <w:basedOn w:val="Normln"/>
    <w:link w:val="ZkladntextodsazenChar"/>
    <w:uiPriority w:val="99"/>
    <w:semiHidden/>
    <w:unhideWhenUsed/>
    <w:rsid w:val="00811BB4"/>
    <w:pPr>
      <w:spacing w:after="120"/>
      <w:ind w:left="283"/>
    </w:pPr>
  </w:style>
  <w:style w:type="character" w:customStyle="1" w:styleId="ZkladntextodsazenChar">
    <w:name w:val="Základní text odsazený Char"/>
    <w:link w:val="Zkladntextodsazen"/>
    <w:uiPriority w:val="99"/>
    <w:semiHidden/>
    <w:rsid w:val="00811BB4"/>
    <w:rPr>
      <w:rFonts w:ascii="Arial" w:eastAsia="Times New Roman" w:hAnsi="Arial"/>
      <w:szCs w:val="24"/>
    </w:rPr>
  </w:style>
  <w:style w:type="paragraph" w:customStyle="1" w:styleId="odrky">
    <w:name w:val="odrky"/>
    <w:basedOn w:val="Normln"/>
    <w:rsid w:val="00811BB4"/>
    <w:pPr>
      <w:numPr>
        <w:numId w:val="2"/>
      </w:numPr>
      <w:spacing w:after="60" w:line="240" w:lineRule="auto"/>
      <w:jc w:val="both"/>
    </w:pPr>
    <w:rPr>
      <w:rFonts w:cs="Arial"/>
      <w:sz w:val="24"/>
    </w:rPr>
  </w:style>
  <w:style w:type="paragraph" w:styleId="Zkladntextodsazen3">
    <w:name w:val="Body Text Indent 3"/>
    <w:basedOn w:val="Normln"/>
    <w:link w:val="Zkladntextodsazen3Char"/>
    <w:uiPriority w:val="99"/>
    <w:semiHidden/>
    <w:unhideWhenUsed/>
    <w:rsid w:val="006359AB"/>
    <w:pPr>
      <w:spacing w:after="120"/>
      <w:ind w:left="283"/>
    </w:pPr>
    <w:rPr>
      <w:sz w:val="16"/>
      <w:szCs w:val="16"/>
    </w:rPr>
  </w:style>
  <w:style w:type="character" w:customStyle="1" w:styleId="Zkladntextodsazen3Char">
    <w:name w:val="Základní text odsazený 3 Char"/>
    <w:link w:val="Zkladntextodsazen3"/>
    <w:uiPriority w:val="99"/>
    <w:semiHidden/>
    <w:rsid w:val="006359AB"/>
    <w:rPr>
      <w:rFonts w:ascii="Arial" w:eastAsia="Times New Roman" w:hAnsi="Arial"/>
      <w:sz w:val="16"/>
      <w:szCs w:val="16"/>
    </w:rPr>
  </w:style>
  <w:style w:type="paragraph" w:customStyle="1" w:styleId="Default">
    <w:name w:val="Default"/>
    <w:rsid w:val="00921B68"/>
    <w:pPr>
      <w:autoSpaceDE w:val="0"/>
      <w:autoSpaceDN w:val="0"/>
      <w:adjustRightInd w:val="0"/>
    </w:pPr>
    <w:rPr>
      <w:rFonts w:cs="Calibri"/>
      <w:color w:val="000000"/>
      <w:sz w:val="24"/>
      <w:szCs w:val="24"/>
    </w:rPr>
  </w:style>
  <w:style w:type="paragraph" w:styleId="Textpoznpodarou">
    <w:name w:val="footnote text"/>
    <w:basedOn w:val="Normln"/>
    <w:link w:val="TextpoznpodarouChar"/>
    <w:uiPriority w:val="99"/>
    <w:semiHidden/>
    <w:unhideWhenUsed/>
    <w:rsid w:val="00672363"/>
    <w:rPr>
      <w:szCs w:val="20"/>
    </w:rPr>
  </w:style>
  <w:style w:type="character" w:customStyle="1" w:styleId="TextpoznpodarouChar">
    <w:name w:val="Text pozn. pod čarou Char"/>
    <w:link w:val="Textpoznpodarou"/>
    <w:uiPriority w:val="99"/>
    <w:semiHidden/>
    <w:rsid w:val="00672363"/>
    <w:rPr>
      <w:rFonts w:ascii="Arial" w:eastAsia="Times New Roman" w:hAnsi="Arial"/>
    </w:rPr>
  </w:style>
  <w:style w:type="character" w:styleId="Znakapoznpodarou">
    <w:name w:val="footnote reference"/>
    <w:uiPriority w:val="99"/>
    <w:semiHidden/>
    <w:unhideWhenUsed/>
    <w:rsid w:val="00672363"/>
    <w:rPr>
      <w:vertAlign w:val="superscript"/>
    </w:rPr>
  </w:style>
  <w:style w:type="character" w:customStyle="1" w:styleId="attr">
    <w:name w:val="attr"/>
    <w:basedOn w:val="Standardnpsmoodstavce"/>
    <w:rsid w:val="00142BBF"/>
  </w:style>
  <w:style w:type="character" w:customStyle="1" w:styleId="content">
    <w:name w:val="content"/>
    <w:basedOn w:val="Standardnpsmoodstavce"/>
    <w:rsid w:val="0092586B"/>
  </w:style>
  <w:style w:type="character" w:styleId="Sledovanodkaz">
    <w:name w:val="FollowedHyperlink"/>
    <w:uiPriority w:val="99"/>
    <w:semiHidden/>
    <w:unhideWhenUsed/>
    <w:rsid w:val="00886630"/>
    <w:rPr>
      <w:color w:val="800080"/>
      <w:u w:val="single"/>
    </w:rPr>
  </w:style>
  <w:style w:type="character" w:customStyle="1" w:styleId="Nadpis5Char">
    <w:name w:val="Nadpis 5 Char"/>
    <w:link w:val="Nadpis5"/>
    <w:uiPriority w:val="9"/>
    <w:semiHidden/>
    <w:rsid w:val="00A01EDD"/>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3">
      <w:bodyDiv w:val="1"/>
      <w:marLeft w:val="0"/>
      <w:marRight w:val="0"/>
      <w:marTop w:val="0"/>
      <w:marBottom w:val="0"/>
      <w:divBdr>
        <w:top w:val="none" w:sz="0" w:space="0" w:color="auto"/>
        <w:left w:val="none" w:sz="0" w:space="0" w:color="auto"/>
        <w:bottom w:val="none" w:sz="0" w:space="0" w:color="auto"/>
        <w:right w:val="none" w:sz="0" w:space="0" w:color="auto"/>
      </w:divBdr>
    </w:div>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93961">
      <w:bodyDiv w:val="1"/>
      <w:marLeft w:val="0"/>
      <w:marRight w:val="0"/>
      <w:marTop w:val="0"/>
      <w:marBottom w:val="0"/>
      <w:divBdr>
        <w:top w:val="none" w:sz="0" w:space="0" w:color="auto"/>
        <w:left w:val="none" w:sz="0" w:space="0" w:color="auto"/>
        <w:bottom w:val="none" w:sz="0" w:space="0" w:color="auto"/>
        <w:right w:val="none" w:sz="0" w:space="0" w:color="auto"/>
      </w:divBdr>
    </w:div>
    <w:div w:id="5521444">
      <w:bodyDiv w:val="1"/>
      <w:marLeft w:val="0"/>
      <w:marRight w:val="0"/>
      <w:marTop w:val="0"/>
      <w:marBottom w:val="0"/>
      <w:divBdr>
        <w:top w:val="none" w:sz="0" w:space="0" w:color="auto"/>
        <w:left w:val="none" w:sz="0" w:space="0" w:color="auto"/>
        <w:bottom w:val="none" w:sz="0" w:space="0" w:color="auto"/>
        <w:right w:val="none" w:sz="0" w:space="0" w:color="auto"/>
      </w:divBdr>
    </w:div>
    <w:div w:id="9186784">
      <w:bodyDiv w:val="1"/>
      <w:marLeft w:val="0"/>
      <w:marRight w:val="0"/>
      <w:marTop w:val="0"/>
      <w:marBottom w:val="0"/>
      <w:divBdr>
        <w:top w:val="none" w:sz="0" w:space="0" w:color="auto"/>
        <w:left w:val="none" w:sz="0" w:space="0" w:color="auto"/>
        <w:bottom w:val="none" w:sz="0" w:space="0" w:color="auto"/>
        <w:right w:val="none" w:sz="0" w:space="0" w:color="auto"/>
      </w:divBdr>
    </w:div>
    <w:div w:id="22481360">
      <w:bodyDiv w:val="1"/>
      <w:marLeft w:val="0"/>
      <w:marRight w:val="0"/>
      <w:marTop w:val="0"/>
      <w:marBottom w:val="0"/>
      <w:divBdr>
        <w:top w:val="none" w:sz="0" w:space="0" w:color="auto"/>
        <w:left w:val="none" w:sz="0" w:space="0" w:color="auto"/>
        <w:bottom w:val="none" w:sz="0" w:space="0" w:color="auto"/>
        <w:right w:val="none" w:sz="0" w:space="0" w:color="auto"/>
      </w:divBdr>
    </w:div>
    <w:div w:id="29260179">
      <w:bodyDiv w:val="1"/>
      <w:marLeft w:val="0"/>
      <w:marRight w:val="0"/>
      <w:marTop w:val="0"/>
      <w:marBottom w:val="0"/>
      <w:divBdr>
        <w:top w:val="none" w:sz="0" w:space="0" w:color="auto"/>
        <w:left w:val="none" w:sz="0" w:space="0" w:color="auto"/>
        <w:bottom w:val="none" w:sz="0" w:space="0" w:color="auto"/>
        <w:right w:val="none" w:sz="0" w:space="0" w:color="auto"/>
      </w:divBdr>
    </w:div>
    <w:div w:id="36511754">
      <w:bodyDiv w:val="1"/>
      <w:marLeft w:val="0"/>
      <w:marRight w:val="0"/>
      <w:marTop w:val="0"/>
      <w:marBottom w:val="0"/>
      <w:divBdr>
        <w:top w:val="none" w:sz="0" w:space="0" w:color="auto"/>
        <w:left w:val="none" w:sz="0" w:space="0" w:color="auto"/>
        <w:bottom w:val="none" w:sz="0" w:space="0" w:color="auto"/>
        <w:right w:val="none" w:sz="0" w:space="0" w:color="auto"/>
      </w:divBdr>
    </w:div>
    <w:div w:id="38559595">
      <w:bodyDiv w:val="1"/>
      <w:marLeft w:val="0"/>
      <w:marRight w:val="0"/>
      <w:marTop w:val="0"/>
      <w:marBottom w:val="0"/>
      <w:divBdr>
        <w:top w:val="none" w:sz="0" w:space="0" w:color="auto"/>
        <w:left w:val="none" w:sz="0" w:space="0" w:color="auto"/>
        <w:bottom w:val="none" w:sz="0" w:space="0" w:color="auto"/>
        <w:right w:val="none" w:sz="0" w:space="0" w:color="auto"/>
      </w:divBdr>
    </w:div>
    <w:div w:id="39284782">
      <w:bodyDiv w:val="1"/>
      <w:marLeft w:val="0"/>
      <w:marRight w:val="0"/>
      <w:marTop w:val="0"/>
      <w:marBottom w:val="0"/>
      <w:divBdr>
        <w:top w:val="none" w:sz="0" w:space="0" w:color="auto"/>
        <w:left w:val="none" w:sz="0" w:space="0" w:color="auto"/>
        <w:bottom w:val="none" w:sz="0" w:space="0" w:color="auto"/>
        <w:right w:val="none" w:sz="0" w:space="0" w:color="auto"/>
      </w:divBdr>
    </w:div>
    <w:div w:id="64912279">
      <w:bodyDiv w:val="1"/>
      <w:marLeft w:val="0"/>
      <w:marRight w:val="0"/>
      <w:marTop w:val="0"/>
      <w:marBottom w:val="0"/>
      <w:divBdr>
        <w:top w:val="none" w:sz="0" w:space="0" w:color="auto"/>
        <w:left w:val="none" w:sz="0" w:space="0" w:color="auto"/>
        <w:bottom w:val="none" w:sz="0" w:space="0" w:color="auto"/>
        <w:right w:val="none" w:sz="0" w:space="0" w:color="auto"/>
      </w:divBdr>
    </w:div>
    <w:div w:id="73670412">
      <w:bodyDiv w:val="1"/>
      <w:marLeft w:val="0"/>
      <w:marRight w:val="0"/>
      <w:marTop w:val="0"/>
      <w:marBottom w:val="0"/>
      <w:divBdr>
        <w:top w:val="none" w:sz="0" w:space="0" w:color="auto"/>
        <w:left w:val="none" w:sz="0" w:space="0" w:color="auto"/>
        <w:bottom w:val="none" w:sz="0" w:space="0" w:color="auto"/>
        <w:right w:val="none" w:sz="0" w:space="0" w:color="auto"/>
      </w:divBdr>
    </w:div>
    <w:div w:id="90856948">
      <w:bodyDiv w:val="1"/>
      <w:marLeft w:val="0"/>
      <w:marRight w:val="0"/>
      <w:marTop w:val="0"/>
      <w:marBottom w:val="0"/>
      <w:divBdr>
        <w:top w:val="none" w:sz="0" w:space="0" w:color="auto"/>
        <w:left w:val="none" w:sz="0" w:space="0" w:color="auto"/>
        <w:bottom w:val="none" w:sz="0" w:space="0" w:color="auto"/>
        <w:right w:val="none" w:sz="0" w:space="0" w:color="auto"/>
      </w:divBdr>
    </w:div>
    <w:div w:id="93324736">
      <w:bodyDiv w:val="1"/>
      <w:marLeft w:val="0"/>
      <w:marRight w:val="0"/>
      <w:marTop w:val="0"/>
      <w:marBottom w:val="0"/>
      <w:divBdr>
        <w:top w:val="none" w:sz="0" w:space="0" w:color="auto"/>
        <w:left w:val="none" w:sz="0" w:space="0" w:color="auto"/>
        <w:bottom w:val="none" w:sz="0" w:space="0" w:color="auto"/>
        <w:right w:val="none" w:sz="0" w:space="0" w:color="auto"/>
      </w:divBdr>
    </w:div>
    <w:div w:id="120922744">
      <w:bodyDiv w:val="1"/>
      <w:marLeft w:val="0"/>
      <w:marRight w:val="0"/>
      <w:marTop w:val="0"/>
      <w:marBottom w:val="0"/>
      <w:divBdr>
        <w:top w:val="none" w:sz="0" w:space="0" w:color="auto"/>
        <w:left w:val="none" w:sz="0" w:space="0" w:color="auto"/>
        <w:bottom w:val="none" w:sz="0" w:space="0" w:color="auto"/>
        <w:right w:val="none" w:sz="0" w:space="0" w:color="auto"/>
      </w:divBdr>
    </w:div>
    <w:div w:id="130292187">
      <w:bodyDiv w:val="1"/>
      <w:marLeft w:val="0"/>
      <w:marRight w:val="0"/>
      <w:marTop w:val="0"/>
      <w:marBottom w:val="0"/>
      <w:divBdr>
        <w:top w:val="none" w:sz="0" w:space="0" w:color="auto"/>
        <w:left w:val="none" w:sz="0" w:space="0" w:color="auto"/>
        <w:bottom w:val="none" w:sz="0" w:space="0" w:color="auto"/>
        <w:right w:val="none" w:sz="0" w:space="0" w:color="auto"/>
      </w:divBdr>
    </w:div>
    <w:div w:id="136916285">
      <w:bodyDiv w:val="1"/>
      <w:marLeft w:val="0"/>
      <w:marRight w:val="0"/>
      <w:marTop w:val="0"/>
      <w:marBottom w:val="0"/>
      <w:divBdr>
        <w:top w:val="none" w:sz="0" w:space="0" w:color="auto"/>
        <w:left w:val="none" w:sz="0" w:space="0" w:color="auto"/>
        <w:bottom w:val="none" w:sz="0" w:space="0" w:color="auto"/>
        <w:right w:val="none" w:sz="0" w:space="0" w:color="auto"/>
      </w:divBdr>
    </w:div>
    <w:div w:id="169953744">
      <w:bodyDiv w:val="1"/>
      <w:marLeft w:val="0"/>
      <w:marRight w:val="0"/>
      <w:marTop w:val="0"/>
      <w:marBottom w:val="0"/>
      <w:divBdr>
        <w:top w:val="none" w:sz="0" w:space="0" w:color="auto"/>
        <w:left w:val="none" w:sz="0" w:space="0" w:color="auto"/>
        <w:bottom w:val="none" w:sz="0" w:space="0" w:color="auto"/>
        <w:right w:val="none" w:sz="0" w:space="0" w:color="auto"/>
      </w:divBdr>
    </w:div>
    <w:div w:id="186255795">
      <w:bodyDiv w:val="1"/>
      <w:marLeft w:val="0"/>
      <w:marRight w:val="0"/>
      <w:marTop w:val="0"/>
      <w:marBottom w:val="0"/>
      <w:divBdr>
        <w:top w:val="none" w:sz="0" w:space="0" w:color="auto"/>
        <w:left w:val="none" w:sz="0" w:space="0" w:color="auto"/>
        <w:bottom w:val="none" w:sz="0" w:space="0" w:color="auto"/>
        <w:right w:val="none" w:sz="0" w:space="0" w:color="auto"/>
      </w:divBdr>
    </w:div>
    <w:div w:id="225533978">
      <w:bodyDiv w:val="1"/>
      <w:marLeft w:val="0"/>
      <w:marRight w:val="0"/>
      <w:marTop w:val="0"/>
      <w:marBottom w:val="0"/>
      <w:divBdr>
        <w:top w:val="none" w:sz="0" w:space="0" w:color="auto"/>
        <w:left w:val="none" w:sz="0" w:space="0" w:color="auto"/>
        <w:bottom w:val="none" w:sz="0" w:space="0" w:color="auto"/>
        <w:right w:val="none" w:sz="0" w:space="0" w:color="auto"/>
      </w:divBdr>
    </w:div>
    <w:div w:id="225655079">
      <w:bodyDiv w:val="1"/>
      <w:marLeft w:val="0"/>
      <w:marRight w:val="0"/>
      <w:marTop w:val="0"/>
      <w:marBottom w:val="0"/>
      <w:divBdr>
        <w:top w:val="none" w:sz="0" w:space="0" w:color="auto"/>
        <w:left w:val="none" w:sz="0" w:space="0" w:color="auto"/>
        <w:bottom w:val="none" w:sz="0" w:space="0" w:color="auto"/>
        <w:right w:val="none" w:sz="0" w:space="0" w:color="auto"/>
      </w:divBdr>
    </w:div>
    <w:div w:id="247007234">
      <w:bodyDiv w:val="1"/>
      <w:marLeft w:val="0"/>
      <w:marRight w:val="0"/>
      <w:marTop w:val="0"/>
      <w:marBottom w:val="0"/>
      <w:divBdr>
        <w:top w:val="none" w:sz="0" w:space="0" w:color="auto"/>
        <w:left w:val="none" w:sz="0" w:space="0" w:color="auto"/>
        <w:bottom w:val="none" w:sz="0" w:space="0" w:color="auto"/>
        <w:right w:val="none" w:sz="0" w:space="0" w:color="auto"/>
      </w:divBdr>
    </w:div>
    <w:div w:id="259876770">
      <w:bodyDiv w:val="1"/>
      <w:marLeft w:val="0"/>
      <w:marRight w:val="0"/>
      <w:marTop w:val="0"/>
      <w:marBottom w:val="0"/>
      <w:divBdr>
        <w:top w:val="none" w:sz="0" w:space="0" w:color="auto"/>
        <w:left w:val="none" w:sz="0" w:space="0" w:color="auto"/>
        <w:bottom w:val="none" w:sz="0" w:space="0" w:color="auto"/>
        <w:right w:val="none" w:sz="0" w:space="0" w:color="auto"/>
      </w:divBdr>
    </w:div>
    <w:div w:id="273371673">
      <w:bodyDiv w:val="1"/>
      <w:marLeft w:val="0"/>
      <w:marRight w:val="0"/>
      <w:marTop w:val="0"/>
      <w:marBottom w:val="0"/>
      <w:divBdr>
        <w:top w:val="none" w:sz="0" w:space="0" w:color="auto"/>
        <w:left w:val="none" w:sz="0" w:space="0" w:color="auto"/>
        <w:bottom w:val="none" w:sz="0" w:space="0" w:color="auto"/>
        <w:right w:val="none" w:sz="0" w:space="0" w:color="auto"/>
      </w:divBdr>
    </w:div>
    <w:div w:id="276765721">
      <w:bodyDiv w:val="1"/>
      <w:marLeft w:val="0"/>
      <w:marRight w:val="0"/>
      <w:marTop w:val="0"/>
      <w:marBottom w:val="0"/>
      <w:divBdr>
        <w:top w:val="none" w:sz="0" w:space="0" w:color="auto"/>
        <w:left w:val="none" w:sz="0" w:space="0" w:color="auto"/>
        <w:bottom w:val="none" w:sz="0" w:space="0" w:color="auto"/>
        <w:right w:val="none" w:sz="0" w:space="0" w:color="auto"/>
      </w:divBdr>
    </w:div>
    <w:div w:id="284119880">
      <w:bodyDiv w:val="1"/>
      <w:marLeft w:val="0"/>
      <w:marRight w:val="0"/>
      <w:marTop w:val="0"/>
      <w:marBottom w:val="0"/>
      <w:divBdr>
        <w:top w:val="none" w:sz="0" w:space="0" w:color="auto"/>
        <w:left w:val="none" w:sz="0" w:space="0" w:color="auto"/>
        <w:bottom w:val="none" w:sz="0" w:space="0" w:color="auto"/>
        <w:right w:val="none" w:sz="0" w:space="0" w:color="auto"/>
      </w:divBdr>
    </w:div>
    <w:div w:id="289437988">
      <w:bodyDiv w:val="1"/>
      <w:marLeft w:val="0"/>
      <w:marRight w:val="0"/>
      <w:marTop w:val="0"/>
      <w:marBottom w:val="0"/>
      <w:divBdr>
        <w:top w:val="none" w:sz="0" w:space="0" w:color="auto"/>
        <w:left w:val="none" w:sz="0" w:space="0" w:color="auto"/>
        <w:bottom w:val="none" w:sz="0" w:space="0" w:color="auto"/>
        <w:right w:val="none" w:sz="0" w:space="0" w:color="auto"/>
      </w:divBdr>
      <w:divsChild>
        <w:div w:id="897940356">
          <w:marLeft w:val="0"/>
          <w:marRight w:val="0"/>
          <w:marTop w:val="0"/>
          <w:marBottom w:val="0"/>
          <w:divBdr>
            <w:top w:val="none" w:sz="0" w:space="0" w:color="auto"/>
            <w:left w:val="none" w:sz="0" w:space="0" w:color="auto"/>
            <w:bottom w:val="none" w:sz="0" w:space="0" w:color="auto"/>
            <w:right w:val="none" w:sz="0" w:space="0" w:color="auto"/>
          </w:divBdr>
          <w:divsChild>
            <w:div w:id="286934762">
              <w:marLeft w:val="0"/>
              <w:marRight w:val="0"/>
              <w:marTop w:val="0"/>
              <w:marBottom w:val="0"/>
              <w:divBdr>
                <w:top w:val="none" w:sz="0" w:space="0" w:color="auto"/>
                <w:left w:val="none" w:sz="0" w:space="0" w:color="auto"/>
                <w:bottom w:val="none" w:sz="0" w:space="0" w:color="auto"/>
                <w:right w:val="none" w:sz="0" w:space="0" w:color="auto"/>
              </w:divBdr>
            </w:div>
            <w:div w:id="255214677">
              <w:marLeft w:val="0"/>
              <w:marRight w:val="0"/>
              <w:marTop w:val="0"/>
              <w:marBottom w:val="0"/>
              <w:divBdr>
                <w:top w:val="none" w:sz="0" w:space="0" w:color="auto"/>
                <w:left w:val="none" w:sz="0" w:space="0" w:color="auto"/>
                <w:bottom w:val="none" w:sz="0" w:space="0" w:color="auto"/>
                <w:right w:val="none" w:sz="0" w:space="0" w:color="auto"/>
              </w:divBdr>
            </w:div>
            <w:div w:id="5330028">
              <w:marLeft w:val="0"/>
              <w:marRight w:val="0"/>
              <w:marTop w:val="0"/>
              <w:marBottom w:val="0"/>
              <w:divBdr>
                <w:top w:val="none" w:sz="0" w:space="0" w:color="auto"/>
                <w:left w:val="none" w:sz="0" w:space="0" w:color="auto"/>
                <w:bottom w:val="none" w:sz="0" w:space="0" w:color="auto"/>
                <w:right w:val="none" w:sz="0" w:space="0" w:color="auto"/>
              </w:divBdr>
            </w:div>
            <w:div w:id="1400012134">
              <w:marLeft w:val="0"/>
              <w:marRight w:val="0"/>
              <w:marTop w:val="0"/>
              <w:marBottom w:val="0"/>
              <w:divBdr>
                <w:top w:val="none" w:sz="0" w:space="0" w:color="auto"/>
                <w:left w:val="none" w:sz="0" w:space="0" w:color="auto"/>
                <w:bottom w:val="none" w:sz="0" w:space="0" w:color="auto"/>
                <w:right w:val="none" w:sz="0" w:space="0" w:color="auto"/>
              </w:divBdr>
            </w:div>
            <w:div w:id="1806848194">
              <w:marLeft w:val="0"/>
              <w:marRight w:val="0"/>
              <w:marTop w:val="0"/>
              <w:marBottom w:val="0"/>
              <w:divBdr>
                <w:top w:val="none" w:sz="0" w:space="0" w:color="auto"/>
                <w:left w:val="none" w:sz="0" w:space="0" w:color="auto"/>
                <w:bottom w:val="none" w:sz="0" w:space="0" w:color="auto"/>
                <w:right w:val="none" w:sz="0" w:space="0" w:color="auto"/>
              </w:divBdr>
            </w:div>
            <w:div w:id="1082143598">
              <w:marLeft w:val="0"/>
              <w:marRight w:val="0"/>
              <w:marTop w:val="0"/>
              <w:marBottom w:val="0"/>
              <w:divBdr>
                <w:top w:val="none" w:sz="0" w:space="0" w:color="auto"/>
                <w:left w:val="none" w:sz="0" w:space="0" w:color="auto"/>
                <w:bottom w:val="none" w:sz="0" w:space="0" w:color="auto"/>
                <w:right w:val="none" w:sz="0" w:space="0" w:color="auto"/>
              </w:divBdr>
            </w:div>
            <w:div w:id="662003342">
              <w:marLeft w:val="0"/>
              <w:marRight w:val="0"/>
              <w:marTop w:val="0"/>
              <w:marBottom w:val="0"/>
              <w:divBdr>
                <w:top w:val="none" w:sz="0" w:space="0" w:color="auto"/>
                <w:left w:val="none" w:sz="0" w:space="0" w:color="auto"/>
                <w:bottom w:val="none" w:sz="0" w:space="0" w:color="auto"/>
                <w:right w:val="none" w:sz="0" w:space="0" w:color="auto"/>
              </w:divBdr>
            </w:div>
            <w:div w:id="264776875">
              <w:marLeft w:val="0"/>
              <w:marRight w:val="0"/>
              <w:marTop w:val="0"/>
              <w:marBottom w:val="0"/>
              <w:divBdr>
                <w:top w:val="none" w:sz="0" w:space="0" w:color="auto"/>
                <w:left w:val="none" w:sz="0" w:space="0" w:color="auto"/>
                <w:bottom w:val="none" w:sz="0" w:space="0" w:color="auto"/>
                <w:right w:val="none" w:sz="0" w:space="0" w:color="auto"/>
              </w:divBdr>
            </w:div>
            <w:div w:id="642127722">
              <w:marLeft w:val="0"/>
              <w:marRight w:val="0"/>
              <w:marTop w:val="0"/>
              <w:marBottom w:val="0"/>
              <w:divBdr>
                <w:top w:val="none" w:sz="0" w:space="0" w:color="auto"/>
                <w:left w:val="none" w:sz="0" w:space="0" w:color="auto"/>
                <w:bottom w:val="none" w:sz="0" w:space="0" w:color="auto"/>
                <w:right w:val="none" w:sz="0" w:space="0" w:color="auto"/>
              </w:divBdr>
            </w:div>
            <w:div w:id="1046222223">
              <w:marLeft w:val="0"/>
              <w:marRight w:val="0"/>
              <w:marTop w:val="0"/>
              <w:marBottom w:val="0"/>
              <w:divBdr>
                <w:top w:val="none" w:sz="0" w:space="0" w:color="auto"/>
                <w:left w:val="none" w:sz="0" w:space="0" w:color="auto"/>
                <w:bottom w:val="none" w:sz="0" w:space="0" w:color="auto"/>
                <w:right w:val="none" w:sz="0" w:space="0" w:color="auto"/>
              </w:divBdr>
            </w:div>
            <w:div w:id="656344020">
              <w:marLeft w:val="0"/>
              <w:marRight w:val="0"/>
              <w:marTop w:val="0"/>
              <w:marBottom w:val="0"/>
              <w:divBdr>
                <w:top w:val="none" w:sz="0" w:space="0" w:color="auto"/>
                <w:left w:val="none" w:sz="0" w:space="0" w:color="auto"/>
                <w:bottom w:val="none" w:sz="0" w:space="0" w:color="auto"/>
                <w:right w:val="none" w:sz="0" w:space="0" w:color="auto"/>
              </w:divBdr>
            </w:div>
            <w:div w:id="1558971429">
              <w:marLeft w:val="0"/>
              <w:marRight w:val="0"/>
              <w:marTop w:val="0"/>
              <w:marBottom w:val="0"/>
              <w:divBdr>
                <w:top w:val="none" w:sz="0" w:space="0" w:color="auto"/>
                <w:left w:val="none" w:sz="0" w:space="0" w:color="auto"/>
                <w:bottom w:val="none" w:sz="0" w:space="0" w:color="auto"/>
                <w:right w:val="none" w:sz="0" w:space="0" w:color="auto"/>
              </w:divBdr>
            </w:div>
            <w:div w:id="308442063">
              <w:marLeft w:val="0"/>
              <w:marRight w:val="0"/>
              <w:marTop w:val="0"/>
              <w:marBottom w:val="0"/>
              <w:divBdr>
                <w:top w:val="none" w:sz="0" w:space="0" w:color="auto"/>
                <w:left w:val="none" w:sz="0" w:space="0" w:color="auto"/>
                <w:bottom w:val="none" w:sz="0" w:space="0" w:color="auto"/>
                <w:right w:val="none" w:sz="0" w:space="0" w:color="auto"/>
              </w:divBdr>
            </w:div>
            <w:div w:id="2135907419">
              <w:marLeft w:val="0"/>
              <w:marRight w:val="0"/>
              <w:marTop w:val="0"/>
              <w:marBottom w:val="0"/>
              <w:divBdr>
                <w:top w:val="none" w:sz="0" w:space="0" w:color="auto"/>
                <w:left w:val="none" w:sz="0" w:space="0" w:color="auto"/>
                <w:bottom w:val="none" w:sz="0" w:space="0" w:color="auto"/>
                <w:right w:val="none" w:sz="0" w:space="0" w:color="auto"/>
              </w:divBdr>
            </w:div>
            <w:div w:id="697703860">
              <w:marLeft w:val="0"/>
              <w:marRight w:val="0"/>
              <w:marTop w:val="0"/>
              <w:marBottom w:val="0"/>
              <w:divBdr>
                <w:top w:val="none" w:sz="0" w:space="0" w:color="auto"/>
                <w:left w:val="none" w:sz="0" w:space="0" w:color="auto"/>
                <w:bottom w:val="none" w:sz="0" w:space="0" w:color="auto"/>
                <w:right w:val="none" w:sz="0" w:space="0" w:color="auto"/>
              </w:divBdr>
            </w:div>
            <w:div w:id="52704105">
              <w:marLeft w:val="0"/>
              <w:marRight w:val="0"/>
              <w:marTop w:val="0"/>
              <w:marBottom w:val="0"/>
              <w:divBdr>
                <w:top w:val="none" w:sz="0" w:space="0" w:color="auto"/>
                <w:left w:val="none" w:sz="0" w:space="0" w:color="auto"/>
                <w:bottom w:val="none" w:sz="0" w:space="0" w:color="auto"/>
                <w:right w:val="none" w:sz="0" w:space="0" w:color="auto"/>
              </w:divBdr>
            </w:div>
            <w:div w:id="1719861411">
              <w:marLeft w:val="0"/>
              <w:marRight w:val="0"/>
              <w:marTop w:val="0"/>
              <w:marBottom w:val="0"/>
              <w:divBdr>
                <w:top w:val="none" w:sz="0" w:space="0" w:color="auto"/>
                <w:left w:val="none" w:sz="0" w:space="0" w:color="auto"/>
                <w:bottom w:val="none" w:sz="0" w:space="0" w:color="auto"/>
                <w:right w:val="none" w:sz="0" w:space="0" w:color="auto"/>
              </w:divBdr>
            </w:div>
            <w:div w:id="1725834403">
              <w:marLeft w:val="0"/>
              <w:marRight w:val="0"/>
              <w:marTop w:val="0"/>
              <w:marBottom w:val="0"/>
              <w:divBdr>
                <w:top w:val="none" w:sz="0" w:space="0" w:color="auto"/>
                <w:left w:val="none" w:sz="0" w:space="0" w:color="auto"/>
                <w:bottom w:val="none" w:sz="0" w:space="0" w:color="auto"/>
                <w:right w:val="none" w:sz="0" w:space="0" w:color="auto"/>
              </w:divBdr>
            </w:div>
            <w:div w:id="330111707">
              <w:marLeft w:val="0"/>
              <w:marRight w:val="0"/>
              <w:marTop w:val="0"/>
              <w:marBottom w:val="0"/>
              <w:divBdr>
                <w:top w:val="none" w:sz="0" w:space="0" w:color="auto"/>
                <w:left w:val="none" w:sz="0" w:space="0" w:color="auto"/>
                <w:bottom w:val="none" w:sz="0" w:space="0" w:color="auto"/>
                <w:right w:val="none" w:sz="0" w:space="0" w:color="auto"/>
              </w:divBdr>
            </w:div>
            <w:div w:id="1650865516">
              <w:marLeft w:val="0"/>
              <w:marRight w:val="0"/>
              <w:marTop w:val="0"/>
              <w:marBottom w:val="0"/>
              <w:divBdr>
                <w:top w:val="none" w:sz="0" w:space="0" w:color="auto"/>
                <w:left w:val="none" w:sz="0" w:space="0" w:color="auto"/>
                <w:bottom w:val="none" w:sz="0" w:space="0" w:color="auto"/>
                <w:right w:val="none" w:sz="0" w:space="0" w:color="auto"/>
              </w:divBdr>
            </w:div>
            <w:div w:id="2117096934">
              <w:marLeft w:val="0"/>
              <w:marRight w:val="0"/>
              <w:marTop w:val="0"/>
              <w:marBottom w:val="0"/>
              <w:divBdr>
                <w:top w:val="none" w:sz="0" w:space="0" w:color="auto"/>
                <w:left w:val="none" w:sz="0" w:space="0" w:color="auto"/>
                <w:bottom w:val="none" w:sz="0" w:space="0" w:color="auto"/>
                <w:right w:val="none" w:sz="0" w:space="0" w:color="auto"/>
              </w:divBdr>
            </w:div>
            <w:div w:id="12345382">
              <w:marLeft w:val="0"/>
              <w:marRight w:val="0"/>
              <w:marTop w:val="0"/>
              <w:marBottom w:val="0"/>
              <w:divBdr>
                <w:top w:val="none" w:sz="0" w:space="0" w:color="auto"/>
                <w:left w:val="none" w:sz="0" w:space="0" w:color="auto"/>
                <w:bottom w:val="none" w:sz="0" w:space="0" w:color="auto"/>
                <w:right w:val="none" w:sz="0" w:space="0" w:color="auto"/>
              </w:divBdr>
            </w:div>
            <w:div w:id="1027177253">
              <w:marLeft w:val="0"/>
              <w:marRight w:val="0"/>
              <w:marTop w:val="0"/>
              <w:marBottom w:val="0"/>
              <w:divBdr>
                <w:top w:val="none" w:sz="0" w:space="0" w:color="auto"/>
                <w:left w:val="none" w:sz="0" w:space="0" w:color="auto"/>
                <w:bottom w:val="none" w:sz="0" w:space="0" w:color="auto"/>
                <w:right w:val="none" w:sz="0" w:space="0" w:color="auto"/>
              </w:divBdr>
            </w:div>
            <w:div w:id="1749768977">
              <w:marLeft w:val="0"/>
              <w:marRight w:val="0"/>
              <w:marTop w:val="0"/>
              <w:marBottom w:val="0"/>
              <w:divBdr>
                <w:top w:val="none" w:sz="0" w:space="0" w:color="auto"/>
                <w:left w:val="none" w:sz="0" w:space="0" w:color="auto"/>
                <w:bottom w:val="none" w:sz="0" w:space="0" w:color="auto"/>
                <w:right w:val="none" w:sz="0" w:space="0" w:color="auto"/>
              </w:divBdr>
            </w:div>
            <w:div w:id="1314063576">
              <w:marLeft w:val="0"/>
              <w:marRight w:val="0"/>
              <w:marTop w:val="0"/>
              <w:marBottom w:val="0"/>
              <w:divBdr>
                <w:top w:val="none" w:sz="0" w:space="0" w:color="auto"/>
                <w:left w:val="none" w:sz="0" w:space="0" w:color="auto"/>
                <w:bottom w:val="none" w:sz="0" w:space="0" w:color="auto"/>
                <w:right w:val="none" w:sz="0" w:space="0" w:color="auto"/>
              </w:divBdr>
            </w:div>
            <w:div w:id="1817604436">
              <w:marLeft w:val="0"/>
              <w:marRight w:val="0"/>
              <w:marTop w:val="0"/>
              <w:marBottom w:val="0"/>
              <w:divBdr>
                <w:top w:val="none" w:sz="0" w:space="0" w:color="auto"/>
                <w:left w:val="none" w:sz="0" w:space="0" w:color="auto"/>
                <w:bottom w:val="none" w:sz="0" w:space="0" w:color="auto"/>
                <w:right w:val="none" w:sz="0" w:space="0" w:color="auto"/>
              </w:divBdr>
            </w:div>
            <w:div w:id="1363937120">
              <w:marLeft w:val="0"/>
              <w:marRight w:val="0"/>
              <w:marTop w:val="0"/>
              <w:marBottom w:val="0"/>
              <w:divBdr>
                <w:top w:val="none" w:sz="0" w:space="0" w:color="auto"/>
                <w:left w:val="none" w:sz="0" w:space="0" w:color="auto"/>
                <w:bottom w:val="none" w:sz="0" w:space="0" w:color="auto"/>
                <w:right w:val="none" w:sz="0" w:space="0" w:color="auto"/>
              </w:divBdr>
            </w:div>
            <w:div w:id="1794402347">
              <w:marLeft w:val="0"/>
              <w:marRight w:val="0"/>
              <w:marTop w:val="0"/>
              <w:marBottom w:val="0"/>
              <w:divBdr>
                <w:top w:val="none" w:sz="0" w:space="0" w:color="auto"/>
                <w:left w:val="none" w:sz="0" w:space="0" w:color="auto"/>
                <w:bottom w:val="none" w:sz="0" w:space="0" w:color="auto"/>
                <w:right w:val="none" w:sz="0" w:space="0" w:color="auto"/>
              </w:divBdr>
            </w:div>
            <w:div w:id="1851024221">
              <w:marLeft w:val="0"/>
              <w:marRight w:val="0"/>
              <w:marTop w:val="0"/>
              <w:marBottom w:val="0"/>
              <w:divBdr>
                <w:top w:val="none" w:sz="0" w:space="0" w:color="auto"/>
                <w:left w:val="none" w:sz="0" w:space="0" w:color="auto"/>
                <w:bottom w:val="none" w:sz="0" w:space="0" w:color="auto"/>
                <w:right w:val="none" w:sz="0" w:space="0" w:color="auto"/>
              </w:divBdr>
            </w:div>
            <w:div w:id="246578995">
              <w:marLeft w:val="0"/>
              <w:marRight w:val="0"/>
              <w:marTop w:val="0"/>
              <w:marBottom w:val="0"/>
              <w:divBdr>
                <w:top w:val="none" w:sz="0" w:space="0" w:color="auto"/>
                <w:left w:val="none" w:sz="0" w:space="0" w:color="auto"/>
                <w:bottom w:val="none" w:sz="0" w:space="0" w:color="auto"/>
                <w:right w:val="none" w:sz="0" w:space="0" w:color="auto"/>
              </w:divBdr>
            </w:div>
            <w:div w:id="2059086190">
              <w:marLeft w:val="0"/>
              <w:marRight w:val="0"/>
              <w:marTop w:val="0"/>
              <w:marBottom w:val="0"/>
              <w:divBdr>
                <w:top w:val="none" w:sz="0" w:space="0" w:color="auto"/>
                <w:left w:val="none" w:sz="0" w:space="0" w:color="auto"/>
                <w:bottom w:val="none" w:sz="0" w:space="0" w:color="auto"/>
                <w:right w:val="none" w:sz="0" w:space="0" w:color="auto"/>
              </w:divBdr>
            </w:div>
            <w:div w:id="1813208154">
              <w:marLeft w:val="0"/>
              <w:marRight w:val="0"/>
              <w:marTop w:val="0"/>
              <w:marBottom w:val="0"/>
              <w:divBdr>
                <w:top w:val="none" w:sz="0" w:space="0" w:color="auto"/>
                <w:left w:val="none" w:sz="0" w:space="0" w:color="auto"/>
                <w:bottom w:val="none" w:sz="0" w:space="0" w:color="auto"/>
                <w:right w:val="none" w:sz="0" w:space="0" w:color="auto"/>
              </w:divBdr>
            </w:div>
            <w:div w:id="15356056">
              <w:marLeft w:val="0"/>
              <w:marRight w:val="0"/>
              <w:marTop w:val="0"/>
              <w:marBottom w:val="0"/>
              <w:divBdr>
                <w:top w:val="none" w:sz="0" w:space="0" w:color="auto"/>
                <w:left w:val="none" w:sz="0" w:space="0" w:color="auto"/>
                <w:bottom w:val="none" w:sz="0" w:space="0" w:color="auto"/>
                <w:right w:val="none" w:sz="0" w:space="0" w:color="auto"/>
              </w:divBdr>
            </w:div>
            <w:div w:id="2120252388">
              <w:marLeft w:val="0"/>
              <w:marRight w:val="0"/>
              <w:marTop w:val="0"/>
              <w:marBottom w:val="0"/>
              <w:divBdr>
                <w:top w:val="none" w:sz="0" w:space="0" w:color="auto"/>
                <w:left w:val="none" w:sz="0" w:space="0" w:color="auto"/>
                <w:bottom w:val="none" w:sz="0" w:space="0" w:color="auto"/>
                <w:right w:val="none" w:sz="0" w:space="0" w:color="auto"/>
              </w:divBdr>
            </w:div>
            <w:div w:id="1980304114">
              <w:marLeft w:val="0"/>
              <w:marRight w:val="0"/>
              <w:marTop w:val="0"/>
              <w:marBottom w:val="0"/>
              <w:divBdr>
                <w:top w:val="none" w:sz="0" w:space="0" w:color="auto"/>
                <w:left w:val="none" w:sz="0" w:space="0" w:color="auto"/>
                <w:bottom w:val="none" w:sz="0" w:space="0" w:color="auto"/>
                <w:right w:val="none" w:sz="0" w:space="0" w:color="auto"/>
              </w:divBdr>
            </w:div>
            <w:div w:id="2112705480">
              <w:marLeft w:val="0"/>
              <w:marRight w:val="0"/>
              <w:marTop w:val="0"/>
              <w:marBottom w:val="0"/>
              <w:divBdr>
                <w:top w:val="none" w:sz="0" w:space="0" w:color="auto"/>
                <w:left w:val="none" w:sz="0" w:space="0" w:color="auto"/>
                <w:bottom w:val="none" w:sz="0" w:space="0" w:color="auto"/>
                <w:right w:val="none" w:sz="0" w:space="0" w:color="auto"/>
              </w:divBdr>
            </w:div>
            <w:div w:id="846210620">
              <w:marLeft w:val="0"/>
              <w:marRight w:val="0"/>
              <w:marTop w:val="0"/>
              <w:marBottom w:val="0"/>
              <w:divBdr>
                <w:top w:val="none" w:sz="0" w:space="0" w:color="auto"/>
                <w:left w:val="none" w:sz="0" w:space="0" w:color="auto"/>
                <w:bottom w:val="none" w:sz="0" w:space="0" w:color="auto"/>
                <w:right w:val="none" w:sz="0" w:space="0" w:color="auto"/>
              </w:divBdr>
            </w:div>
            <w:div w:id="1688674478">
              <w:marLeft w:val="0"/>
              <w:marRight w:val="0"/>
              <w:marTop w:val="0"/>
              <w:marBottom w:val="0"/>
              <w:divBdr>
                <w:top w:val="none" w:sz="0" w:space="0" w:color="auto"/>
                <w:left w:val="none" w:sz="0" w:space="0" w:color="auto"/>
                <w:bottom w:val="none" w:sz="0" w:space="0" w:color="auto"/>
                <w:right w:val="none" w:sz="0" w:space="0" w:color="auto"/>
              </w:divBdr>
            </w:div>
            <w:div w:id="1273976043">
              <w:marLeft w:val="0"/>
              <w:marRight w:val="0"/>
              <w:marTop w:val="0"/>
              <w:marBottom w:val="0"/>
              <w:divBdr>
                <w:top w:val="none" w:sz="0" w:space="0" w:color="auto"/>
                <w:left w:val="none" w:sz="0" w:space="0" w:color="auto"/>
                <w:bottom w:val="none" w:sz="0" w:space="0" w:color="auto"/>
                <w:right w:val="none" w:sz="0" w:space="0" w:color="auto"/>
              </w:divBdr>
            </w:div>
            <w:div w:id="1716587315">
              <w:marLeft w:val="0"/>
              <w:marRight w:val="0"/>
              <w:marTop w:val="0"/>
              <w:marBottom w:val="0"/>
              <w:divBdr>
                <w:top w:val="none" w:sz="0" w:space="0" w:color="auto"/>
                <w:left w:val="none" w:sz="0" w:space="0" w:color="auto"/>
                <w:bottom w:val="none" w:sz="0" w:space="0" w:color="auto"/>
                <w:right w:val="none" w:sz="0" w:space="0" w:color="auto"/>
              </w:divBdr>
            </w:div>
            <w:div w:id="706219236">
              <w:marLeft w:val="0"/>
              <w:marRight w:val="0"/>
              <w:marTop w:val="0"/>
              <w:marBottom w:val="0"/>
              <w:divBdr>
                <w:top w:val="none" w:sz="0" w:space="0" w:color="auto"/>
                <w:left w:val="none" w:sz="0" w:space="0" w:color="auto"/>
                <w:bottom w:val="none" w:sz="0" w:space="0" w:color="auto"/>
                <w:right w:val="none" w:sz="0" w:space="0" w:color="auto"/>
              </w:divBdr>
            </w:div>
            <w:div w:id="48463505">
              <w:marLeft w:val="0"/>
              <w:marRight w:val="0"/>
              <w:marTop w:val="0"/>
              <w:marBottom w:val="0"/>
              <w:divBdr>
                <w:top w:val="none" w:sz="0" w:space="0" w:color="auto"/>
                <w:left w:val="none" w:sz="0" w:space="0" w:color="auto"/>
                <w:bottom w:val="none" w:sz="0" w:space="0" w:color="auto"/>
                <w:right w:val="none" w:sz="0" w:space="0" w:color="auto"/>
              </w:divBdr>
            </w:div>
            <w:div w:id="621349840">
              <w:marLeft w:val="0"/>
              <w:marRight w:val="0"/>
              <w:marTop w:val="0"/>
              <w:marBottom w:val="0"/>
              <w:divBdr>
                <w:top w:val="none" w:sz="0" w:space="0" w:color="auto"/>
                <w:left w:val="none" w:sz="0" w:space="0" w:color="auto"/>
                <w:bottom w:val="none" w:sz="0" w:space="0" w:color="auto"/>
                <w:right w:val="none" w:sz="0" w:space="0" w:color="auto"/>
              </w:divBdr>
            </w:div>
            <w:div w:id="1119031251">
              <w:marLeft w:val="0"/>
              <w:marRight w:val="0"/>
              <w:marTop w:val="0"/>
              <w:marBottom w:val="0"/>
              <w:divBdr>
                <w:top w:val="none" w:sz="0" w:space="0" w:color="auto"/>
                <w:left w:val="none" w:sz="0" w:space="0" w:color="auto"/>
                <w:bottom w:val="none" w:sz="0" w:space="0" w:color="auto"/>
                <w:right w:val="none" w:sz="0" w:space="0" w:color="auto"/>
              </w:divBdr>
            </w:div>
            <w:div w:id="294455602">
              <w:marLeft w:val="0"/>
              <w:marRight w:val="0"/>
              <w:marTop w:val="0"/>
              <w:marBottom w:val="0"/>
              <w:divBdr>
                <w:top w:val="none" w:sz="0" w:space="0" w:color="auto"/>
                <w:left w:val="none" w:sz="0" w:space="0" w:color="auto"/>
                <w:bottom w:val="none" w:sz="0" w:space="0" w:color="auto"/>
                <w:right w:val="none" w:sz="0" w:space="0" w:color="auto"/>
              </w:divBdr>
            </w:div>
            <w:div w:id="1062677217">
              <w:marLeft w:val="0"/>
              <w:marRight w:val="0"/>
              <w:marTop w:val="0"/>
              <w:marBottom w:val="0"/>
              <w:divBdr>
                <w:top w:val="none" w:sz="0" w:space="0" w:color="auto"/>
                <w:left w:val="none" w:sz="0" w:space="0" w:color="auto"/>
                <w:bottom w:val="none" w:sz="0" w:space="0" w:color="auto"/>
                <w:right w:val="none" w:sz="0" w:space="0" w:color="auto"/>
              </w:divBdr>
            </w:div>
            <w:div w:id="136532078">
              <w:marLeft w:val="0"/>
              <w:marRight w:val="0"/>
              <w:marTop w:val="0"/>
              <w:marBottom w:val="0"/>
              <w:divBdr>
                <w:top w:val="none" w:sz="0" w:space="0" w:color="auto"/>
                <w:left w:val="none" w:sz="0" w:space="0" w:color="auto"/>
                <w:bottom w:val="none" w:sz="0" w:space="0" w:color="auto"/>
                <w:right w:val="none" w:sz="0" w:space="0" w:color="auto"/>
              </w:divBdr>
            </w:div>
            <w:div w:id="1025784723">
              <w:marLeft w:val="0"/>
              <w:marRight w:val="0"/>
              <w:marTop w:val="0"/>
              <w:marBottom w:val="0"/>
              <w:divBdr>
                <w:top w:val="none" w:sz="0" w:space="0" w:color="auto"/>
                <w:left w:val="none" w:sz="0" w:space="0" w:color="auto"/>
                <w:bottom w:val="none" w:sz="0" w:space="0" w:color="auto"/>
                <w:right w:val="none" w:sz="0" w:space="0" w:color="auto"/>
              </w:divBdr>
            </w:div>
            <w:div w:id="224920212">
              <w:marLeft w:val="0"/>
              <w:marRight w:val="0"/>
              <w:marTop w:val="0"/>
              <w:marBottom w:val="0"/>
              <w:divBdr>
                <w:top w:val="none" w:sz="0" w:space="0" w:color="auto"/>
                <w:left w:val="none" w:sz="0" w:space="0" w:color="auto"/>
                <w:bottom w:val="none" w:sz="0" w:space="0" w:color="auto"/>
                <w:right w:val="none" w:sz="0" w:space="0" w:color="auto"/>
              </w:divBdr>
            </w:div>
            <w:div w:id="1715694507">
              <w:marLeft w:val="0"/>
              <w:marRight w:val="0"/>
              <w:marTop w:val="0"/>
              <w:marBottom w:val="0"/>
              <w:divBdr>
                <w:top w:val="none" w:sz="0" w:space="0" w:color="auto"/>
                <w:left w:val="none" w:sz="0" w:space="0" w:color="auto"/>
                <w:bottom w:val="none" w:sz="0" w:space="0" w:color="auto"/>
                <w:right w:val="none" w:sz="0" w:space="0" w:color="auto"/>
              </w:divBdr>
            </w:div>
            <w:div w:id="749041076">
              <w:marLeft w:val="0"/>
              <w:marRight w:val="0"/>
              <w:marTop w:val="0"/>
              <w:marBottom w:val="0"/>
              <w:divBdr>
                <w:top w:val="none" w:sz="0" w:space="0" w:color="auto"/>
                <w:left w:val="none" w:sz="0" w:space="0" w:color="auto"/>
                <w:bottom w:val="none" w:sz="0" w:space="0" w:color="auto"/>
                <w:right w:val="none" w:sz="0" w:space="0" w:color="auto"/>
              </w:divBdr>
            </w:div>
            <w:div w:id="668336944">
              <w:marLeft w:val="0"/>
              <w:marRight w:val="0"/>
              <w:marTop w:val="0"/>
              <w:marBottom w:val="0"/>
              <w:divBdr>
                <w:top w:val="none" w:sz="0" w:space="0" w:color="auto"/>
                <w:left w:val="none" w:sz="0" w:space="0" w:color="auto"/>
                <w:bottom w:val="none" w:sz="0" w:space="0" w:color="auto"/>
                <w:right w:val="none" w:sz="0" w:space="0" w:color="auto"/>
              </w:divBdr>
            </w:div>
            <w:div w:id="1555577329">
              <w:marLeft w:val="0"/>
              <w:marRight w:val="0"/>
              <w:marTop w:val="0"/>
              <w:marBottom w:val="0"/>
              <w:divBdr>
                <w:top w:val="none" w:sz="0" w:space="0" w:color="auto"/>
                <w:left w:val="none" w:sz="0" w:space="0" w:color="auto"/>
                <w:bottom w:val="none" w:sz="0" w:space="0" w:color="auto"/>
                <w:right w:val="none" w:sz="0" w:space="0" w:color="auto"/>
              </w:divBdr>
            </w:div>
            <w:div w:id="1803962246">
              <w:marLeft w:val="0"/>
              <w:marRight w:val="0"/>
              <w:marTop w:val="0"/>
              <w:marBottom w:val="0"/>
              <w:divBdr>
                <w:top w:val="none" w:sz="0" w:space="0" w:color="auto"/>
                <w:left w:val="none" w:sz="0" w:space="0" w:color="auto"/>
                <w:bottom w:val="none" w:sz="0" w:space="0" w:color="auto"/>
                <w:right w:val="none" w:sz="0" w:space="0" w:color="auto"/>
              </w:divBdr>
            </w:div>
            <w:div w:id="96411264">
              <w:marLeft w:val="0"/>
              <w:marRight w:val="0"/>
              <w:marTop w:val="0"/>
              <w:marBottom w:val="0"/>
              <w:divBdr>
                <w:top w:val="none" w:sz="0" w:space="0" w:color="auto"/>
                <w:left w:val="none" w:sz="0" w:space="0" w:color="auto"/>
                <w:bottom w:val="none" w:sz="0" w:space="0" w:color="auto"/>
                <w:right w:val="none" w:sz="0" w:space="0" w:color="auto"/>
              </w:divBdr>
            </w:div>
            <w:div w:id="764574282">
              <w:marLeft w:val="0"/>
              <w:marRight w:val="0"/>
              <w:marTop w:val="0"/>
              <w:marBottom w:val="0"/>
              <w:divBdr>
                <w:top w:val="none" w:sz="0" w:space="0" w:color="auto"/>
                <w:left w:val="none" w:sz="0" w:space="0" w:color="auto"/>
                <w:bottom w:val="none" w:sz="0" w:space="0" w:color="auto"/>
                <w:right w:val="none" w:sz="0" w:space="0" w:color="auto"/>
              </w:divBdr>
            </w:div>
            <w:div w:id="239022118">
              <w:marLeft w:val="0"/>
              <w:marRight w:val="0"/>
              <w:marTop w:val="0"/>
              <w:marBottom w:val="0"/>
              <w:divBdr>
                <w:top w:val="none" w:sz="0" w:space="0" w:color="auto"/>
                <w:left w:val="none" w:sz="0" w:space="0" w:color="auto"/>
                <w:bottom w:val="none" w:sz="0" w:space="0" w:color="auto"/>
                <w:right w:val="none" w:sz="0" w:space="0" w:color="auto"/>
              </w:divBdr>
            </w:div>
            <w:div w:id="1243685535">
              <w:marLeft w:val="0"/>
              <w:marRight w:val="0"/>
              <w:marTop w:val="0"/>
              <w:marBottom w:val="0"/>
              <w:divBdr>
                <w:top w:val="none" w:sz="0" w:space="0" w:color="auto"/>
                <w:left w:val="none" w:sz="0" w:space="0" w:color="auto"/>
                <w:bottom w:val="none" w:sz="0" w:space="0" w:color="auto"/>
                <w:right w:val="none" w:sz="0" w:space="0" w:color="auto"/>
              </w:divBdr>
            </w:div>
            <w:div w:id="890192185">
              <w:marLeft w:val="0"/>
              <w:marRight w:val="0"/>
              <w:marTop w:val="0"/>
              <w:marBottom w:val="0"/>
              <w:divBdr>
                <w:top w:val="none" w:sz="0" w:space="0" w:color="auto"/>
                <w:left w:val="none" w:sz="0" w:space="0" w:color="auto"/>
                <w:bottom w:val="none" w:sz="0" w:space="0" w:color="auto"/>
                <w:right w:val="none" w:sz="0" w:space="0" w:color="auto"/>
              </w:divBdr>
            </w:div>
            <w:div w:id="1215853844">
              <w:marLeft w:val="0"/>
              <w:marRight w:val="0"/>
              <w:marTop w:val="0"/>
              <w:marBottom w:val="0"/>
              <w:divBdr>
                <w:top w:val="none" w:sz="0" w:space="0" w:color="auto"/>
                <w:left w:val="none" w:sz="0" w:space="0" w:color="auto"/>
                <w:bottom w:val="none" w:sz="0" w:space="0" w:color="auto"/>
                <w:right w:val="none" w:sz="0" w:space="0" w:color="auto"/>
              </w:divBdr>
            </w:div>
            <w:div w:id="705180834">
              <w:marLeft w:val="0"/>
              <w:marRight w:val="0"/>
              <w:marTop w:val="0"/>
              <w:marBottom w:val="0"/>
              <w:divBdr>
                <w:top w:val="none" w:sz="0" w:space="0" w:color="auto"/>
                <w:left w:val="none" w:sz="0" w:space="0" w:color="auto"/>
                <w:bottom w:val="none" w:sz="0" w:space="0" w:color="auto"/>
                <w:right w:val="none" w:sz="0" w:space="0" w:color="auto"/>
              </w:divBdr>
            </w:div>
            <w:div w:id="859659406">
              <w:marLeft w:val="0"/>
              <w:marRight w:val="0"/>
              <w:marTop w:val="0"/>
              <w:marBottom w:val="0"/>
              <w:divBdr>
                <w:top w:val="none" w:sz="0" w:space="0" w:color="auto"/>
                <w:left w:val="none" w:sz="0" w:space="0" w:color="auto"/>
                <w:bottom w:val="none" w:sz="0" w:space="0" w:color="auto"/>
                <w:right w:val="none" w:sz="0" w:space="0" w:color="auto"/>
              </w:divBdr>
            </w:div>
            <w:div w:id="1665623410">
              <w:marLeft w:val="0"/>
              <w:marRight w:val="0"/>
              <w:marTop w:val="0"/>
              <w:marBottom w:val="0"/>
              <w:divBdr>
                <w:top w:val="none" w:sz="0" w:space="0" w:color="auto"/>
                <w:left w:val="none" w:sz="0" w:space="0" w:color="auto"/>
                <w:bottom w:val="none" w:sz="0" w:space="0" w:color="auto"/>
                <w:right w:val="none" w:sz="0" w:space="0" w:color="auto"/>
              </w:divBdr>
            </w:div>
            <w:div w:id="1755470901">
              <w:marLeft w:val="0"/>
              <w:marRight w:val="0"/>
              <w:marTop w:val="0"/>
              <w:marBottom w:val="0"/>
              <w:divBdr>
                <w:top w:val="none" w:sz="0" w:space="0" w:color="auto"/>
                <w:left w:val="none" w:sz="0" w:space="0" w:color="auto"/>
                <w:bottom w:val="none" w:sz="0" w:space="0" w:color="auto"/>
                <w:right w:val="none" w:sz="0" w:space="0" w:color="auto"/>
              </w:divBdr>
            </w:div>
            <w:div w:id="1872377648">
              <w:marLeft w:val="0"/>
              <w:marRight w:val="0"/>
              <w:marTop w:val="0"/>
              <w:marBottom w:val="0"/>
              <w:divBdr>
                <w:top w:val="none" w:sz="0" w:space="0" w:color="auto"/>
                <w:left w:val="none" w:sz="0" w:space="0" w:color="auto"/>
                <w:bottom w:val="none" w:sz="0" w:space="0" w:color="auto"/>
                <w:right w:val="none" w:sz="0" w:space="0" w:color="auto"/>
              </w:divBdr>
            </w:div>
            <w:div w:id="1271623100">
              <w:marLeft w:val="0"/>
              <w:marRight w:val="0"/>
              <w:marTop w:val="0"/>
              <w:marBottom w:val="0"/>
              <w:divBdr>
                <w:top w:val="none" w:sz="0" w:space="0" w:color="auto"/>
                <w:left w:val="none" w:sz="0" w:space="0" w:color="auto"/>
                <w:bottom w:val="none" w:sz="0" w:space="0" w:color="auto"/>
                <w:right w:val="none" w:sz="0" w:space="0" w:color="auto"/>
              </w:divBdr>
            </w:div>
            <w:div w:id="2111388690">
              <w:marLeft w:val="0"/>
              <w:marRight w:val="0"/>
              <w:marTop w:val="0"/>
              <w:marBottom w:val="0"/>
              <w:divBdr>
                <w:top w:val="none" w:sz="0" w:space="0" w:color="auto"/>
                <w:left w:val="none" w:sz="0" w:space="0" w:color="auto"/>
                <w:bottom w:val="none" w:sz="0" w:space="0" w:color="auto"/>
                <w:right w:val="none" w:sz="0" w:space="0" w:color="auto"/>
              </w:divBdr>
            </w:div>
            <w:div w:id="650405889">
              <w:marLeft w:val="0"/>
              <w:marRight w:val="0"/>
              <w:marTop w:val="0"/>
              <w:marBottom w:val="0"/>
              <w:divBdr>
                <w:top w:val="none" w:sz="0" w:space="0" w:color="auto"/>
                <w:left w:val="none" w:sz="0" w:space="0" w:color="auto"/>
                <w:bottom w:val="none" w:sz="0" w:space="0" w:color="auto"/>
                <w:right w:val="none" w:sz="0" w:space="0" w:color="auto"/>
              </w:divBdr>
            </w:div>
            <w:div w:id="255870296">
              <w:marLeft w:val="0"/>
              <w:marRight w:val="0"/>
              <w:marTop w:val="0"/>
              <w:marBottom w:val="0"/>
              <w:divBdr>
                <w:top w:val="none" w:sz="0" w:space="0" w:color="auto"/>
                <w:left w:val="none" w:sz="0" w:space="0" w:color="auto"/>
                <w:bottom w:val="none" w:sz="0" w:space="0" w:color="auto"/>
                <w:right w:val="none" w:sz="0" w:space="0" w:color="auto"/>
              </w:divBdr>
            </w:div>
            <w:div w:id="1565797873">
              <w:marLeft w:val="0"/>
              <w:marRight w:val="0"/>
              <w:marTop w:val="0"/>
              <w:marBottom w:val="0"/>
              <w:divBdr>
                <w:top w:val="none" w:sz="0" w:space="0" w:color="auto"/>
                <w:left w:val="none" w:sz="0" w:space="0" w:color="auto"/>
                <w:bottom w:val="none" w:sz="0" w:space="0" w:color="auto"/>
                <w:right w:val="none" w:sz="0" w:space="0" w:color="auto"/>
              </w:divBdr>
            </w:div>
            <w:div w:id="516041410">
              <w:marLeft w:val="0"/>
              <w:marRight w:val="0"/>
              <w:marTop w:val="0"/>
              <w:marBottom w:val="0"/>
              <w:divBdr>
                <w:top w:val="none" w:sz="0" w:space="0" w:color="auto"/>
                <w:left w:val="none" w:sz="0" w:space="0" w:color="auto"/>
                <w:bottom w:val="none" w:sz="0" w:space="0" w:color="auto"/>
                <w:right w:val="none" w:sz="0" w:space="0" w:color="auto"/>
              </w:divBdr>
            </w:div>
            <w:div w:id="1494948026">
              <w:marLeft w:val="0"/>
              <w:marRight w:val="0"/>
              <w:marTop w:val="0"/>
              <w:marBottom w:val="0"/>
              <w:divBdr>
                <w:top w:val="none" w:sz="0" w:space="0" w:color="auto"/>
                <w:left w:val="none" w:sz="0" w:space="0" w:color="auto"/>
                <w:bottom w:val="none" w:sz="0" w:space="0" w:color="auto"/>
                <w:right w:val="none" w:sz="0" w:space="0" w:color="auto"/>
              </w:divBdr>
            </w:div>
            <w:div w:id="384112022">
              <w:marLeft w:val="0"/>
              <w:marRight w:val="0"/>
              <w:marTop w:val="0"/>
              <w:marBottom w:val="0"/>
              <w:divBdr>
                <w:top w:val="none" w:sz="0" w:space="0" w:color="auto"/>
                <w:left w:val="none" w:sz="0" w:space="0" w:color="auto"/>
                <w:bottom w:val="none" w:sz="0" w:space="0" w:color="auto"/>
                <w:right w:val="none" w:sz="0" w:space="0" w:color="auto"/>
              </w:divBdr>
            </w:div>
            <w:div w:id="450168191">
              <w:marLeft w:val="0"/>
              <w:marRight w:val="0"/>
              <w:marTop w:val="0"/>
              <w:marBottom w:val="0"/>
              <w:divBdr>
                <w:top w:val="none" w:sz="0" w:space="0" w:color="auto"/>
                <w:left w:val="none" w:sz="0" w:space="0" w:color="auto"/>
                <w:bottom w:val="none" w:sz="0" w:space="0" w:color="auto"/>
                <w:right w:val="none" w:sz="0" w:space="0" w:color="auto"/>
              </w:divBdr>
            </w:div>
            <w:div w:id="1618365759">
              <w:marLeft w:val="0"/>
              <w:marRight w:val="0"/>
              <w:marTop w:val="0"/>
              <w:marBottom w:val="0"/>
              <w:divBdr>
                <w:top w:val="none" w:sz="0" w:space="0" w:color="auto"/>
                <w:left w:val="none" w:sz="0" w:space="0" w:color="auto"/>
                <w:bottom w:val="none" w:sz="0" w:space="0" w:color="auto"/>
                <w:right w:val="none" w:sz="0" w:space="0" w:color="auto"/>
              </w:divBdr>
            </w:div>
            <w:div w:id="275721418">
              <w:marLeft w:val="0"/>
              <w:marRight w:val="0"/>
              <w:marTop w:val="0"/>
              <w:marBottom w:val="0"/>
              <w:divBdr>
                <w:top w:val="none" w:sz="0" w:space="0" w:color="auto"/>
                <w:left w:val="none" w:sz="0" w:space="0" w:color="auto"/>
                <w:bottom w:val="none" w:sz="0" w:space="0" w:color="auto"/>
                <w:right w:val="none" w:sz="0" w:space="0" w:color="auto"/>
              </w:divBdr>
            </w:div>
            <w:div w:id="1772966110">
              <w:marLeft w:val="0"/>
              <w:marRight w:val="0"/>
              <w:marTop w:val="0"/>
              <w:marBottom w:val="0"/>
              <w:divBdr>
                <w:top w:val="none" w:sz="0" w:space="0" w:color="auto"/>
                <w:left w:val="none" w:sz="0" w:space="0" w:color="auto"/>
                <w:bottom w:val="none" w:sz="0" w:space="0" w:color="auto"/>
                <w:right w:val="none" w:sz="0" w:space="0" w:color="auto"/>
              </w:divBdr>
            </w:div>
            <w:div w:id="2112386002">
              <w:marLeft w:val="0"/>
              <w:marRight w:val="0"/>
              <w:marTop w:val="0"/>
              <w:marBottom w:val="0"/>
              <w:divBdr>
                <w:top w:val="none" w:sz="0" w:space="0" w:color="auto"/>
                <w:left w:val="none" w:sz="0" w:space="0" w:color="auto"/>
                <w:bottom w:val="none" w:sz="0" w:space="0" w:color="auto"/>
                <w:right w:val="none" w:sz="0" w:space="0" w:color="auto"/>
              </w:divBdr>
            </w:div>
            <w:div w:id="1812477812">
              <w:marLeft w:val="0"/>
              <w:marRight w:val="0"/>
              <w:marTop w:val="0"/>
              <w:marBottom w:val="0"/>
              <w:divBdr>
                <w:top w:val="none" w:sz="0" w:space="0" w:color="auto"/>
                <w:left w:val="none" w:sz="0" w:space="0" w:color="auto"/>
                <w:bottom w:val="none" w:sz="0" w:space="0" w:color="auto"/>
                <w:right w:val="none" w:sz="0" w:space="0" w:color="auto"/>
              </w:divBdr>
            </w:div>
            <w:div w:id="1716196936">
              <w:marLeft w:val="0"/>
              <w:marRight w:val="0"/>
              <w:marTop w:val="0"/>
              <w:marBottom w:val="0"/>
              <w:divBdr>
                <w:top w:val="none" w:sz="0" w:space="0" w:color="auto"/>
                <w:left w:val="none" w:sz="0" w:space="0" w:color="auto"/>
                <w:bottom w:val="none" w:sz="0" w:space="0" w:color="auto"/>
                <w:right w:val="none" w:sz="0" w:space="0" w:color="auto"/>
              </w:divBdr>
            </w:div>
            <w:div w:id="1641571200">
              <w:marLeft w:val="0"/>
              <w:marRight w:val="0"/>
              <w:marTop w:val="0"/>
              <w:marBottom w:val="0"/>
              <w:divBdr>
                <w:top w:val="none" w:sz="0" w:space="0" w:color="auto"/>
                <w:left w:val="none" w:sz="0" w:space="0" w:color="auto"/>
                <w:bottom w:val="none" w:sz="0" w:space="0" w:color="auto"/>
                <w:right w:val="none" w:sz="0" w:space="0" w:color="auto"/>
              </w:divBdr>
            </w:div>
            <w:div w:id="1540818330">
              <w:marLeft w:val="0"/>
              <w:marRight w:val="0"/>
              <w:marTop w:val="0"/>
              <w:marBottom w:val="0"/>
              <w:divBdr>
                <w:top w:val="none" w:sz="0" w:space="0" w:color="auto"/>
                <w:left w:val="none" w:sz="0" w:space="0" w:color="auto"/>
                <w:bottom w:val="none" w:sz="0" w:space="0" w:color="auto"/>
                <w:right w:val="none" w:sz="0" w:space="0" w:color="auto"/>
              </w:divBdr>
            </w:div>
            <w:div w:id="1963880585">
              <w:marLeft w:val="0"/>
              <w:marRight w:val="0"/>
              <w:marTop w:val="0"/>
              <w:marBottom w:val="0"/>
              <w:divBdr>
                <w:top w:val="none" w:sz="0" w:space="0" w:color="auto"/>
                <w:left w:val="none" w:sz="0" w:space="0" w:color="auto"/>
                <w:bottom w:val="none" w:sz="0" w:space="0" w:color="auto"/>
                <w:right w:val="none" w:sz="0" w:space="0" w:color="auto"/>
              </w:divBdr>
            </w:div>
            <w:div w:id="1842046064">
              <w:marLeft w:val="0"/>
              <w:marRight w:val="0"/>
              <w:marTop w:val="0"/>
              <w:marBottom w:val="0"/>
              <w:divBdr>
                <w:top w:val="none" w:sz="0" w:space="0" w:color="auto"/>
                <w:left w:val="none" w:sz="0" w:space="0" w:color="auto"/>
                <w:bottom w:val="none" w:sz="0" w:space="0" w:color="auto"/>
                <w:right w:val="none" w:sz="0" w:space="0" w:color="auto"/>
              </w:divBdr>
            </w:div>
            <w:div w:id="1274437196">
              <w:marLeft w:val="0"/>
              <w:marRight w:val="0"/>
              <w:marTop w:val="0"/>
              <w:marBottom w:val="0"/>
              <w:divBdr>
                <w:top w:val="none" w:sz="0" w:space="0" w:color="auto"/>
                <w:left w:val="none" w:sz="0" w:space="0" w:color="auto"/>
                <w:bottom w:val="none" w:sz="0" w:space="0" w:color="auto"/>
                <w:right w:val="none" w:sz="0" w:space="0" w:color="auto"/>
              </w:divBdr>
            </w:div>
            <w:div w:id="863399251">
              <w:marLeft w:val="0"/>
              <w:marRight w:val="0"/>
              <w:marTop w:val="0"/>
              <w:marBottom w:val="0"/>
              <w:divBdr>
                <w:top w:val="none" w:sz="0" w:space="0" w:color="auto"/>
                <w:left w:val="none" w:sz="0" w:space="0" w:color="auto"/>
                <w:bottom w:val="none" w:sz="0" w:space="0" w:color="auto"/>
                <w:right w:val="none" w:sz="0" w:space="0" w:color="auto"/>
              </w:divBdr>
            </w:div>
            <w:div w:id="793062777">
              <w:marLeft w:val="0"/>
              <w:marRight w:val="0"/>
              <w:marTop w:val="0"/>
              <w:marBottom w:val="0"/>
              <w:divBdr>
                <w:top w:val="none" w:sz="0" w:space="0" w:color="auto"/>
                <w:left w:val="none" w:sz="0" w:space="0" w:color="auto"/>
                <w:bottom w:val="none" w:sz="0" w:space="0" w:color="auto"/>
                <w:right w:val="none" w:sz="0" w:space="0" w:color="auto"/>
              </w:divBdr>
            </w:div>
            <w:div w:id="81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9035">
      <w:bodyDiv w:val="1"/>
      <w:marLeft w:val="0"/>
      <w:marRight w:val="0"/>
      <w:marTop w:val="0"/>
      <w:marBottom w:val="0"/>
      <w:divBdr>
        <w:top w:val="none" w:sz="0" w:space="0" w:color="auto"/>
        <w:left w:val="none" w:sz="0" w:space="0" w:color="auto"/>
        <w:bottom w:val="none" w:sz="0" w:space="0" w:color="auto"/>
        <w:right w:val="none" w:sz="0" w:space="0" w:color="auto"/>
      </w:divBdr>
    </w:div>
    <w:div w:id="315845503">
      <w:bodyDiv w:val="1"/>
      <w:marLeft w:val="0"/>
      <w:marRight w:val="0"/>
      <w:marTop w:val="0"/>
      <w:marBottom w:val="0"/>
      <w:divBdr>
        <w:top w:val="none" w:sz="0" w:space="0" w:color="auto"/>
        <w:left w:val="none" w:sz="0" w:space="0" w:color="auto"/>
        <w:bottom w:val="none" w:sz="0" w:space="0" w:color="auto"/>
        <w:right w:val="none" w:sz="0" w:space="0" w:color="auto"/>
      </w:divBdr>
    </w:div>
    <w:div w:id="352150672">
      <w:bodyDiv w:val="1"/>
      <w:marLeft w:val="0"/>
      <w:marRight w:val="0"/>
      <w:marTop w:val="0"/>
      <w:marBottom w:val="0"/>
      <w:divBdr>
        <w:top w:val="none" w:sz="0" w:space="0" w:color="auto"/>
        <w:left w:val="none" w:sz="0" w:space="0" w:color="auto"/>
        <w:bottom w:val="none" w:sz="0" w:space="0" w:color="auto"/>
        <w:right w:val="none" w:sz="0" w:space="0" w:color="auto"/>
      </w:divBdr>
    </w:div>
    <w:div w:id="393160563">
      <w:bodyDiv w:val="1"/>
      <w:marLeft w:val="0"/>
      <w:marRight w:val="0"/>
      <w:marTop w:val="0"/>
      <w:marBottom w:val="0"/>
      <w:divBdr>
        <w:top w:val="none" w:sz="0" w:space="0" w:color="auto"/>
        <w:left w:val="none" w:sz="0" w:space="0" w:color="auto"/>
        <w:bottom w:val="none" w:sz="0" w:space="0" w:color="auto"/>
        <w:right w:val="none" w:sz="0" w:space="0" w:color="auto"/>
      </w:divBdr>
    </w:div>
    <w:div w:id="401754532">
      <w:bodyDiv w:val="1"/>
      <w:marLeft w:val="0"/>
      <w:marRight w:val="0"/>
      <w:marTop w:val="0"/>
      <w:marBottom w:val="0"/>
      <w:divBdr>
        <w:top w:val="none" w:sz="0" w:space="0" w:color="auto"/>
        <w:left w:val="none" w:sz="0" w:space="0" w:color="auto"/>
        <w:bottom w:val="none" w:sz="0" w:space="0" w:color="auto"/>
        <w:right w:val="none" w:sz="0" w:space="0" w:color="auto"/>
      </w:divBdr>
    </w:div>
    <w:div w:id="444929174">
      <w:bodyDiv w:val="1"/>
      <w:marLeft w:val="0"/>
      <w:marRight w:val="0"/>
      <w:marTop w:val="0"/>
      <w:marBottom w:val="0"/>
      <w:divBdr>
        <w:top w:val="none" w:sz="0" w:space="0" w:color="auto"/>
        <w:left w:val="none" w:sz="0" w:space="0" w:color="auto"/>
        <w:bottom w:val="none" w:sz="0" w:space="0" w:color="auto"/>
        <w:right w:val="none" w:sz="0" w:space="0" w:color="auto"/>
      </w:divBdr>
    </w:div>
    <w:div w:id="446510470">
      <w:bodyDiv w:val="1"/>
      <w:marLeft w:val="0"/>
      <w:marRight w:val="0"/>
      <w:marTop w:val="0"/>
      <w:marBottom w:val="0"/>
      <w:divBdr>
        <w:top w:val="none" w:sz="0" w:space="0" w:color="auto"/>
        <w:left w:val="none" w:sz="0" w:space="0" w:color="auto"/>
        <w:bottom w:val="none" w:sz="0" w:space="0" w:color="auto"/>
        <w:right w:val="none" w:sz="0" w:space="0" w:color="auto"/>
      </w:divBdr>
    </w:div>
    <w:div w:id="448546504">
      <w:bodyDiv w:val="1"/>
      <w:marLeft w:val="0"/>
      <w:marRight w:val="0"/>
      <w:marTop w:val="0"/>
      <w:marBottom w:val="0"/>
      <w:divBdr>
        <w:top w:val="none" w:sz="0" w:space="0" w:color="auto"/>
        <w:left w:val="none" w:sz="0" w:space="0" w:color="auto"/>
        <w:bottom w:val="none" w:sz="0" w:space="0" w:color="auto"/>
        <w:right w:val="none" w:sz="0" w:space="0" w:color="auto"/>
      </w:divBdr>
    </w:div>
    <w:div w:id="449325134">
      <w:bodyDiv w:val="1"/>
      <w:marLeft w:val="0"/>
      <w:marRight w:val="0"/>
      <w:marTop w:val="0"/>
      <w:marBottom w:val="0"/>
      <w:divBdr>
        <w:top w:val="none" w:sz="0" w:space="0" w:color="auto"/>
        <w:left w:val="none" w:sz="0" w:space="0" w:color="auto"/>
        <w:bottom w:val="none" w:sz="0" w:space="0" w:color="auto"/>
        <w:right w:val="none" w:sz="0" w:space="0" w:color="auto"/>
      </w:divBdr>
    </w:div>
    <w:div w:id="470173647">
      <w:bodyDiv w:val="1"/>
      <w:marLeft w:val="0"/>
      <w:marRight w:val="0"/>
      <w:marTop w:val="0"/>
      <w:marBottom w:val="0"/>
      <w:divBdr>
        <w:top w:val="none" w:sz="0" w:space="0" w:color="auto"/>
        <w:left w:val="none" w:sz="0" w:space="0" w:color="auto"/>
        <w:bottom w:val="none" w:sz="0" w:space="0" w:color="auto"/>
        <w:right w:val="none" w:sz="0" w:space="0" w:color="auto"/>
      </w:divBdr>
    </w:div>
    <w:div w:id="472603145">
      <w:bodyDiv w:val="1"/>
      <w:marLeft w:val="0"/>
      <w:marRight w:val="0"/>
      <w:marTop w:val="0"/>
      <w:marBottom w:val="0"/>
      <w:divBdr>
        <w:top w:val="none" w:sz="0" w:space="0" w:color="auto"/>
        <w:left w:val="none" w:sz="0" w:space="0" w:color="auto"/>
        <w:bottom w:val="none" w:sz="0" w:space="0" w:color="auto"/>
        <w:right w:val="none" w:sz="0" w:space="0" w:color="auto"/>
      </w:divBdr>
    </w:div>
    <w:div w:id="484245867">
      <w:bodyDiv w:val="1"/>
      <w:marLeft w:val="0"/>
      <w:marRight w:val="0"/>
      <w:marTop w:val="0"/>
      <w:marBottom w:val="0"/>
      <w:divBdr>
        <w:top w:val="none" w:sz="0" w:space="0" w:color="auto"/>
        <w:left w:val="none" w:sz="0" w:space="0" w:color="auto"/>
        <w:bottom w:val="none" w:sz="0" w:space="0" w:color="auto"/>
        <w:right w:val="none" w:sz="0" w:space="0" w:color="auto"/>
      </w:divBdr>
    </w:div>
    <w:div w:id="486750631">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4898282">
      <w:bodyDiv w:val="1"/>
      <w:marLeft w:val="0"/>
      <w:marRight w:val="0"/>
      <w:marTop w:val="0"/>
      <w:marBottom w:val="0"/>
      <w:divBdr>
        <w:top w:val="none" w:sz="0" w:space="0" w:color="auto"/>
        <w:left w:val="none" w:sz="0" w:space="0" w:color="auto"/>
        <w:bottom w:val="none" w:sz="0" w:space="0" w:color="auto"/>
        <w:right w:val="none" w:sz="0" w:space="0" w:color="auto"/>
      </w:divBdr>
    </w:div>
    <w:div w:id="510337364">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37357952">
      <w:bodyDiv w:val="1"/>
      <w:marLeft w:val="0"/>
      <w:marRight w:val="0"/>
      <w:marTop w:val="0"/>
      <w:marBottom w:val="0"/>
      <w:divBdr>
        <w:top w:val="none" w:sz="0" w:space="0" w:color="auto"/>
        <w:left w:val="none" w:sz="0" w:space="0" w:color="auto"/>
        <w:bottom w:val="none" w:sz="0" w:space="0" w:color="auto"/>
        <w:right w:val="none" w:sz="0" w:space="0" w:color="auto"/>
      </w:divBdr>
    </w:div>
    <w:div w:id="544413101">
      <w:bodyDiv w:val="1"/>
      <w:marLeft w:val="0"/>
      <w:marRight w:val="0"/>
      <w:marTop w:val="0"/>
      <w:marBottom w:val="0"/>
      <w:divBdr>
        <w:top w:val="none" w:sz="0" w:space="0" w:color="auto"/>
        <w:left w:val="none" w:sz="0" w:space="0" w:color="auto"/>
        <w:bottom w:val="none" w:sz="0" w:space="0" w:color="auto"/>
        <w:right w:val="none" w:sz="0" w:space="0" w:color="auto"/>
      </w:divBdr>
    </w:div>
    <w:div w:id="579995064">
      <w:bodyDiv w:val="1"/>
      <w:marLeft w:val="0"/>
      <w:marRight w:val="0"/>
      <w:marTop w:val="0"/>
      <w:marBottom w:val="0"/>
      <w:divBdr>
        <w:top w:val="none" w:sz="0" w:space="0" w:color="auto"/>
        <w:left w:val="none" w:sz="0" w:space="0" w:color="auto"/>
        <w:bottom w:val="none" w:sz="0" w:space="0" w:color="auto"/>
        <w:right w:val="none" w:sz="0" w:space="0" w:color="auto"/>
      </w:divBdr>
    </w:div>
    <w:div w:id="585460465">
      <w:bodyDiv w:val="1"/>
      <w:marLeft w:val="0"/>
      <w:marRight w:val="0"/>
      <w:marTop w:val="0"/>
      <w:marBottom w:val="0"/>
      <w:divBdr>
        <w:top w:val="none" w:sz="0" w:space="0" w:color="auto"/>
        <w:left w:val="none" w:sz="0" w:space="0" w:color="auto"/>
        <w:bottom w:val="none" w:sz="0" w:space="0" w:color="auto"/>
        <w:right w:val="none" w:sz="0" w:space="0" w:color="auto"/>
      </w:divBdr>
    </w:div>
    <w:div w:id="589045358">
      <w:bodyDiv w:val="1"/>
      <w:marLeft w:val="0"/>
      <w:marRight w:val="0"/>
      <w:marTop w:val="0"/>
      <w:marBottom w:val="0"/>
      <w:divBdr>
        <w:top w:val="none" w:sz="0" w:space="0" w:color="auto"/>
        <w:left w:val="none" w:sz="0" w:space="0" w:color="auto"/>
        <w:bottom w:val="none" w:sz="0" w:space="0" w:color="auto"/>
        <w:right w:val="none" w:sz="0" w:space="0" w:color="auto"/>
      </w:divBdr>
    </w:div>
    <w:div w:id="592858013">
      <w:bodyDiv w:val="1"/>
      <w:marLeft w:val="0"/>
      <w:marRight w:val="0"/>
      <w:marTop w:val="0"/>
      <w:marBottom w:val="0"/>
      <w:divBdr>
        <w:top w:val="none" w:sz="0" w:space="0" w:color="auto"/>
        <w:left w:val="none" w:sz="0" w:space="0" w:color="auto"/>
        <w:bottom w:val="none" w:sz="0" w:space="0" w:color="auto"/>
        <w:right w:val="none" w:sz="0" w:space="0" w:color="auto"/>
      </w:divBdr>
    </w:div>
    <w:div w:id="618150854">
      <w:bodyDiv w:val="1"/>
      <w:marLeft w:val="0"/>
      <w:marRight w:val="0"/>
      <w:marTop w:val="0"/>
      <w:marBottom w:val="0"/>
      <w:divBdr>
        <w:top w:val="none" w:sz="0" w:space="0" w:color="auto"/>
        <w:left w:val="none" w:sz="0" w:space="0" w:color="auto"/>
        <w:bottom w:val="none" w:sz="0" w:space="0" w:color="auto"/>
        <w:right w:val="none" w:sz="0" w:space="0" w:color="auto"/>
      </w:divBdr>
    </w:div>
    <w:div w:id="655500853">
      <w:bodyDiv w:val="1"/>
      <w:marLeft w:val="0"/>
      <w:marRight w:val="0"/>
      <w:marTop w:val="0"/>
      <w:marBottom w:val="0"/>
      <w:divBdr>
        <w:top w:val="none" w:sz="0" w:space="0" w:color="auto"/>
        <w:left w:val="none" w:sz="0" w:space="0" w:color="auto"/>
        <w:bottom w:val="none" w:sz="0" w:space="0" w:color="auto"/>
        <w:right w:val="none" w:sz="0" w:space="0" w:color="auto"/>
      </w:divBdr>
    </w:div>
    <w:div w:id="659431595">
      <w:bodyDiv w:val="1"/>
      <w:marLeft w:val="0"/>
      <w:marRight w:val="0"/>
      <w:marTop w:val="0"/>
      <w:marBottom w:val="0"/>
      <w:divBdr>
        <w:top w:val="none" w:sz="0" w:space="0" w:color="auto"/>
        <w:left w:val="none" w:sz="0" w:space="0" w:color="auto"/>
        <w:bottom w:val="none" w:sz="0" w:space="0" w:color="auto"/>
        <w:right w:val="none" w:sz="0" w:space="0" w:color="auto"/>
      </w:divBdr>
    </w:div>
    <w:div w:id="665128921">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8705161">
      <w:bodyDiv w:val="1"/>
      <w:marLeft w:val="0"/>
      <w:marRight w:val="0"/>
      <w:marTop w:val="0"/>
      <w:marBottom w:val="0"/>
      <w:divBdr>
        <w:top w:val="none" w:sz="0" w:space="0" w:color="auto"/>
        <w:left w:val="none" w:sz="0" w:space="0" w:color="auto"/>
        <w:bottom w:val="none" w:sz="0" w:space="0" w:color="auto"/>
        <w:right w:val="none" w:sz="0" w:space="0" w:color="auto"/>
      </w:divBdr>
    </w:div>
    <w:div w:id="734012108">
      <w:bodyDiv w:val="1"/>
      <w:marLeft w:val="0"/>
      <w:marRight w:val="0"/>
      <w:marTop w:val="0"/>
      <w:marBottom w:val="0"/>
      <w:divBdr>
        <w:top w:val="none" w:sz="0" w:space="0" w:color="auto"/>
        <w:left w:val="none" w:sz="0" w:space="0" w:color="auto"/>
        <w:bottom w:val="none" w:sz="0" w:space="0" w:color="auto"/>
        <w:right w:val="none" w:sz="0" w:space="0" w:color="auto"/>
      </w:divBdr>
    </w:div>
    <w:div w:id="744107596">
      <w:bodyDiv w:val="1"/>
      <w:marLeft w:val="0"/>
      <w:marRight w:val="0"/>
      <w:marTop w:val="0"/>
      <w:marBottom w:val="0"/>
      <w:divBdr>
        <w:top w:val="none" w:sz="0" w:space="0" w:color="auto"/>
        <w:left w:val="none" w:sz="0" w:space="0" w:color="auto"/>
        <w:bottom w:val="none" w:sz="0" w:space="0" w:color="auto"/>
        <w:right w:val="none" w:sz="0" w:space="0" w:color="auto"/>
      </w:divBdr>
    </w:div>
    <w:div w:id="748770597">
      <w:bodyDiv w:val="1"/>
      <w:marLeft w:val="0"/>
      <w:marRight w:val="0"/>
      <w:marTop w:val="0"/>
      <w:marBottom w:val="0"/>
      <w:divBdr>
        <w:top w:val="none" w:sz="0" w:space="0" w:color="auto"/>
        <w:left w:val="none" w:sz="0" w:space="0" w:color="auto"/>
        <w:bottom w:val="none" w:sz="0" w:space="0" w:color="auto"/>
        <w:right w:val="none" w:sz="0" w:space="0" w:color="auto"/>
      </w:divBdr>
    </w:div>
    <w:div w:id="748818350">
      <w:bodyDiv w:val="1"/>
      <w:marLeft w:val="0"/>
      <w:marRight w:val="0"/>
      <w:marTop w:val="0"/>
      <w:marBottom w:val="0"/>
      <w:divBdr>
        <w:top w:val="none" w:sz="0" w:space="0" w:color="auto"/>
        <w:left w:val="none" w:sz="0" w:space="0" w:color="auto"/>
        <w:bottom w:val="none" w:sz="0" w:space="0" w:color="auto"/>
        <w:right w:val="none" w:sz="0" w:space="0" w:color="auto"/>
      </w:divBdr>
    </w:div>
    <w:div w:id="754670652">
      <w:bodyDiv w:val="1"/>
      <w:marLeft w:val="0"/>
      <w:marRight w:val="0"/>
      <w:marTop w:val="0"/>
      <w:marBottom w:val="0"/>
      <w:divBdr>
        <w:top w:val="none" w:sz="0" w:space="0" w:color="auto"/>
        <w:left w:val="none" w:sz="0" w:space="0" w:color="auto"/>
        <w:bottom w:val="none" w:sz="0" w:space="0" w:color="auto"/>
        <w:right w:val="none" w:sz="0" w:space="0" w:color="auto"/>
      </w:divBdr>
    </w:div>
    <w:div w:id="761296740">
      <w:bodyDiv w:val="1"/>
      <w:marLeft w:val="0"/>
      <w:marRight w:val="0"/>
      <w:marTop w:val="0"/>
      <w:marBottom w:val="0"/>
      <w:divBdr>
        <w:top w:val="none" w:sz="0" w:space="0" w:color="auto"/>
        <w:left w:val="none" w:sz="0" w:space="0" w:color="auto"/>
        <w:bottom w:val="none" w:sz="0" w:space="0" w:color="auto"/>
        <w:right w:val="none" w:sz="0" w:space="0" w:color="auto"/>
      </w:divBdr>
    </w:div>
    <w:div w:id="768963637">
      <w:bodyDiv w:val="1"/>
      <w:marLeft w:val="0"/>
      <w:marRight w:val="0"/>
      <w:marTop w:val="0"/>
      <w:marBottom w:val="0"/>
      <w:divBdr>
        <w:top w:val="none" w:sz="0" w:space="0" w:color="auto"/>
        <w:left w:val="none" w:sz="0" w:space="0" w:color="auto"/>
        <w:bottom w:val="none" w:sz="0" w:space="0" w:color="auto"/>
        <w:right w:val="none" w:sz="0" w:space="0" w:color="auto"/>
      </w:divBdr>
    </w:div>
    <w:div w:id="776675168">
      <w:bodyDiv w:val="1"/>
      <w:marLeft w:val="0"/>
      <w:marRight w:val="0"/>
      <w:marTop w:val="0"/>
      <w:marBottom w:val="0"/>
      <w:divBdr>
        <w:top w:val="none" w:sz="0" w:space="0" w:color="auto"/>
        <w:left w:val="none" w:sz="0" w:space="0" w:color="auto"/>
        <w:bottom w:val="none" w:sz="0" w:space="0" w:color="auto"/>
        <w:right w:val="none" w:sz="0" w:space="0" w:color="auto"/>
      </w:divBdr>
    </w:div>
    <w:div w:id="791443826">
      <w:bodyDiv w:val="1"/>
      <w:marLeft w:val="0"/>
      <w:marRight w:val="0"/>
      <w:marTop w:val="0"/>
      <w:marBottom w:val="0"/>
      <w:divBdr>
        <w:top w:val="none" w:sz="0" w:space="0" w:color="auto"/>
        <w:left w:val="none" w:sz="0" w:space="0" w:color="auto"/>
        <w:bottom w:val="none" w:sz="0" w:space="0" w:color="auto"/>
        <w:right w:val="none" w:sz="0" w:space="0" w:color="auto"/>
      </w:divBdr>
    </w:div>
    <w:div w:id="850680611">
      <w:bodyDiv w:val="1"/>
      <w:marLeft w:val="0"/>
      <w:marRight w:val="0"/>
      <w:marTop w:val="0"/>
      <w:marBottom w:val="0"/>
      <w:divBdr>
        <w:top w:val="none" w:sz="0" w:space="0" w:color="auto"/>
        <w:left w:val="none" w:sz="0" w:space="0" w:color="auto"/>
        <w:bottom w:val="none" w:sz="0" w:space="0" w:color="auto"/>
        <w:right w:val="none" w:sz="0" w:space="0" w:color="auto"/>
      </w:divBdr>
    </w:div>
    <w:div w:id="880631857">
      <w:bodyDiv w:val="1"/>
      <w:marLeft w:val="0"/>
      <w:marRight w:val="0"/>
      <w:marTop w:val="0"/>
      <w:marBottom w:val="0"/>
      <w:divBdr>
        <w:top w:val="none" w:sz="0" w:space="0" w:color="auto"/>
        <w:left w:val="none" w:sz="0" w:space="0" w:color="auto"/>
        <w:bottom w:val="none" w:sz="0" w:space="0" w:color="auto"/>
        <w:right w:val="none" w:sz="0" w:space="0" w:color="auto"/>
      </w:divBdr>
    </w:div>
    <w:div w:id="881215918">
      <w:bodyDiv w:val="1"/>
      <w:marLeft w:val="0"/>
      <w:marRight w:val="0"/>
      <w:marTop w:val="0"/>
      <w:marBottom w:val="0"/>
      <w:divBdr>
        <w:top w:val="none" w:sz="0" w:space="0" w:color="auto"/>
        <w:left w:val="none" w:sz="0" w:space="0" w:color="auto"/>
        <w:bottom w:val="none" w:sz="0" w:space="0" w:color="auto"/>
        <w:right w:val="none" w:sz="0" w:space="0" w:color="auto"/>
      </w:divBdr>
    </w:div>
    <w:div w:id="885485503">
      <w:bodyDiv w:val="1"/>
      <w:marLeft w:val="0"/>
      <w:marRight w:val="0"/>
      <w:marTop w:val="0"/>
      <w:marBottom w:val="0"/>
      <w:divBdr>
        <w:top w:val="none" w:sz="0" w:space="0" w:color="auto"/>
        <w:left w:val="none" w:sz="0" w:space="0" w:color="auto"/>
        <w:bottom w:val="none" w:sz="0" w:space="0" w:color="auto"/>
        <w:right w:val="none" w:sz="0" w:space="0" w:color="auto"/>
      </w:divBdr>
    </w:div>
    <w:div w:id="896865787">
      <w:bodyDiv w:val="1"/>
      <w:marLeft w:val="0"/>
      <w:marRight w:val="0"/>
      <w:marTop w:val="0"/>
      <w:marBottom w:val="0"/>
      <w:divBdr>
        <w:top w:val="none" w:sz="0" w:space="0" w:color="auto"/>
        <w:left w:val="none" w:sz="0" w:space="0" w:color="auto"/>
        <w:bottom w:val="none" w:sz="0" w:space="0" w:color="auto"/>
        <w:right w:val="none" w:sz="0" w:space="0" w:color="auto"/>
      </w:divBdr>
    </w:div>
    <w:div w:id="907692849">
      <w:bodyDiv w:val="1"/>
      <w:marLeft w:val="0"/>
      <w:marRight w:val="0"/>
      <w:marTop w:val="0"/>
      <w:marBottom w:val="0"/>
      <w:divBdr>
        <w:top w:val="none" w:sz="0" w:space="0" w:color="auto"/>
        <w:left w:val="none" w:sz="0" w:space="0" w:color="auto"/>
        <w:bottom w:val="none" w:sz="0" w:space="0" w:color="auto"/>
        <w:right w:val="none" w:sz="0" w:space="0" w:color="auto"/>
      </w:divBdr>
    </w:div>
    <w:div w:id="953243956">
      <w:bodyDiv w:val="1"/>
      <w:marLeft w:val="0"/>
      <w:marRight w:val="0"/>
      <w:marTop w:val="0"/>
      <w:marBottom w:val="0"/>
      <w:divBdr>
        <w:top w:val="none" w:sz="0" w:space="0" w:color="auto"/>
        <w:left w:val="none" w:sz="0" w:space="0" w:color="auto"/>
        <w:bottom w:val="none" w:sz="0" w:space="0" w:color="auto"/>
        <w:right w:val="none" w:sz="0" w:space="0" w:color="auto"/>
      </w:divBdr>
    </w:div>
    <w:div w:id="959998713">
      <w:bodyDiv w:val="1"/>
      <w:marLeft w:val="0"/>
      <w:marRight w:val="0"/>
      <w:marTop w:val="0"/>
      <w:marBottom w:val="0"/>
      <w:divBdr>
        <w:top w:val="none" w:sz="0" w:space="0" w:color="auto"/>
        <w:left w:val="none" w:sz="0" w:space="0" w:color="auto"/>
        <w:bottom w:val="none" w:sz="0" w:space="0" w:color="auto"/>
        <w:right w:val="none" w:sz="0" w:space="0" w:color="auto"/>
      </w:divBdr>
    </w:div>
    <w:div w:id="965818132">
      <w:bodyDiv w:val="1"/>
      <w:marLeft w:val="0"/>
      <w:marRight w:val="0"/>
      <w:marTop w:val="0"/>
      <w:marBottom w:val="0"/>
      <w:divBdr>
        <w:top w:val="none" w:sz="0" w:space="0" w:color="auto"/>
        <w:left w:val="none" w:sz="0" w:space="0" w:color="auto"/>
        <w:bottom w:val="none" w:sz="0" w:space="0" w:color="auto"/>
        <w:right w:val="none" w:sz="0" w:space="0" w:color="auto"/>
      </w:divBdr>
    </w:div>
    <w:div w:id="972640645">
      <w:bodyDiv w:val="1"/>
      <w:marLeft w:val="0"/>
      <w:marRight w:val="0"/>
      <w:marTop w:val="0"/>
      <w:marBottom w:val="0"/>
      <w:divBdr>
        <w:top w:val="none" w:sz="0" w:space="0" w:color="auto"/>
        <w:left w:val="none" w:sz="0" w:space="0" w:color="auto"/>
        <w:bottom w:val="none" w:sz="0" w:space="0" w:color="auto"/>
        <w:right w:val="none" w:sz="0" w:space="0" w:color="auto"/>
      </w:divBdr>
    </w:div>
    <w:div w:id="973296705">
      <w:bodyDiv w:val="1"/>
      <w:marLeft w:val="0"/>
      <w:marRight w:val="0"/>
      <w:marTop w:val="0"/>
      <w:marBottom w:val="0"/>
      <w:divBdr>
        <w:top w:val="none" w:sz="0" w:space="0" w:color="auto"/>
        <w:left w:val="none" w:sz="0" w:space="0" w:color="auto"/>
        <w:bottom w:val="none" w:sz="0" w:space="0" w:color="auto"/>
        <w:right w:val="none" w:sz="0" w:space="0" w:color="auto"/>
      </w:divBdr>
    </w:div>
    <w:div w:id="991176135">
      <w:bodyDiv w:val="1"/>
      <w:marLeft w:val="0"/>
      <w:marRight w:val="0"/>
      <w:marTop w:val="0"/>
      <w:marBottom w:val="0"/>
      <w:divBdr>
        <w:top w:val="none" w:sz="0" w:space="0" w:color="auto"/>
        <w:left w:val="none" w:sz="0" w:space="0" w:color="auto"/>
        <w:bottom w:val="none" w:sz="0" w:space="0" w:color="auto"/>
        <w:right w:val="none" w:sz="0" w:space="0" w:color="auto"/>
      </w:divBdr>
    </w:div>
    <w:div w:id="995766721">
      <w:bodyDiv w:val="1"/>
      <w:marLeft w:val="0"/>
      <w:marRight w:val="0"/>
      <w:marTop w:val="0"/>
      <w:marBottom w:val="0"/>
      <w:divBdr>
        <w:top w:val="none" w:sz="0" w:space="0" w:color="auto"/>
        <w:left w:val="none" w:sz="0" w:space="0" w:color="auto"/>
        <w:bottom w:val="none" w:sz="0" w:space="0" w:color="auto"/>
        <w:right w:val="none" w:sz="0" w:space="0" w:color="auto"/>
      </w:divBdr>
    </w:div>
    <w:div w:id="996107949">
      <w:bodyDiv w:val="1"/>
      <w:marLeft w:val="0"/>
      <w:marRight w:val="0"/>
      <w:marTop w:val="0"/>
      <w:marBottom w:val="0"/>
      <w:divBdr>
        <w:top w:val="none" w:sz="0" w:space="0" w:color="auto"/>
        <w:left w:val="none" w:sz="0" w:space="0" w:color="auto"/>
        <w:bottom w:val="none" w:sz="0" w:space="0" w:color="auto"/>
        <w:right w:val="none" w:sz="0" w:space="0" w:color="auto"/>
      </w:divBdr>
    </w:div>
    <w:div w:id="1019117438">
      <w:bodyDiv w:val="1"/>
      <w:marLeft w:val="0"/>
      <w:marRight w:val="0"/>
      <w:marTop w:val="0"/>
      <w:marBottom w:val="0"/>
      <w:divBdr>
        <w:top w:val="none" w:sz="0" w:space="0" w:color="auto"/>
        <w:left w:val="none" w:sz="0" w:space="0" w:color="auto"/>
        <w:bottom w:val="none" w:sz="0" w:space="0" w:color="auto"/>
        <w:right w:val="none" w:sz="0" w:space="0" w:color="auto"/>
      </w:divBdr>
    </w:div>
    <w:div w:id="1022780677">
      <w:bodyDiv w:val="1"/>
      <w:marLeft w:val="0"/>
      <w:marRight w:val="0"/>
      <w:marTop w:val="0"/>
      <w:marBottom w:val="0"/>
      <w:divBdr>
        <w:top w:val="none" w:sz="0" w:space="0" w:color="auto"/>
        <w:left w:val="none" w:sz="0" w:space="0" w:color="auto"/>
        <w:bottom w:val="none" w:sz="0" w:space="0" w:color="auto"/>
        <w:right w:val="none" w:sz="0" w:space="0" w:color="auto"/>
      </w:divBdr>
    </w:div>
    <w:div w:id="1035931278">
      <w:bodyDiv w:val="1"/>
      <w:marLeft w:val="0"/>
      <w:marRight w:val="0"/>
      <w:marTop w:val="0"/>
      <w:marBottom w:val="0"/>
      <w:divBdr>
        <w:top w:val="none" w:sz="0" w:space="0" w:color="auto"/>
        <w:left w:val="none" w:sz="0" w:space="0" w:color="auto"/>
        <w:bottom w:val="none" w:sz="0" w:space="0" w:color="auto"/>
        <w:right w:val="none" w:sz="0" w:space="0" w:color="auto"/>
      </w:divBdr>
    </w:div>
    <w:div w:id="1038316435">
      <w:bodyDiv w:val="1"/>
      <w:marLeft w:val="0"/>
      <w:marRight w:val="0"/>
      <w:marTop w:val="0"/>
      <w:marBottom w:val="0"/>
      <w:divBdr>
        <w:top w:val="none" w:sz="0" w:space="0" w:color="auto"/>
        <w:left w:val="none" w:sz="0" w:space="0" w:color="auto"/>
        <w:bottom w:val="none" w:sz="0" w:space="0" w:color="auto"/>
        <w:right w:val="none" w:sz="0" w:space="0" w:color="auto"/>
      </w:divBdr>
    </w:div>
    <w:div w:id="1038894147">
      <w:bodyDiv w:val="1"/>
      <w:marLeft w:val="0"/>
      <w:marRight w:val="0"/>
      <w:marTop w:val="0"/>
      <w:marBottom w:val="0"/>
      <w:divBdr>
        <w:top w:val="none" w:sz="0" w:space="0" w:color="auto"/>
        <w:left w:val="none" w:sz="0" w:space="0" w:color="auto"/>
        <w:bottom w:val="none" w:sz="0" w:space="0" w:color="auto"/>
        <w:right w:val="none" w:sz="0" w:space="0" w:color="auto"/>
      </w:divBdr>
    </w:div>
    <w:div w:id="1038899373">
      <w:bodyDiv w:val="1"/>
      <w:marLeft w:val="0"/>
      <w:marRight w:val="0"/>
      <w:marTop w:val="0"/>
      <w:marBottom w:val="0"/>
      <w:divBdr>
        <w:top w:val="none" w:sz="0" w:space="0" w:color="auto"/>
        <w:left w:val="none" w:sz="0" w:space="0" w:color="auto"/>
        <w:bottom w:val="none" w:sz="0" w:space="0" w:color="auto"/>
        <w:right w:val="none" w:sz="0" w:space="0" w:color="auto"/>
      </w:divBdr>
    </w:div>
    <w:div w:id="1045639230">
      <w:bodyDiv w:val="1"/>
      <w:marLeft w:val="0"/>
      <w:marRight w:val="0"/>
      <w:marTop w:val="0"/>
      <w:marBottom w:val="0"/>
      <w:divBdr>
        <w:top w:val="none" w:sz="0" w:space="0" w:color="auto"/>
        <w:left w:val="none" w:sz="0" w:space="0" w:color="auto"/>
        <w:bottom w:val="none" w:sz="0" w:space="0" w:color="auto"/>
        <w:right w:val="none" w:sz="0" w:space="0" w:color="auto"/>
      </w:divBdr>
    </w:div>
    <w:div w:id="1060523649">
      <w:bodyDiv w:val="1"/>
      <w:marLeft w:val="0"/>
      <w:marRight w:val="0"/>
      <w:marTop w:val="0"/>
      <w:marBottom w:val="0"/>
      <w:divBdr>
        <w:top w:val="none" w:sz="0" w:space="0" w:color="auto"/>
        <w:left w:val="none" w:sz="0" w:space="0" w:color="auto"/>
        <w:bottom w:val="none" w:sz="0" w:space="0" w:color="auto"/>
        <w:right w:val="none" w:sz="0" w:space="0" w:color="auto"/>
      </w:divBdr>
    </w:div>
    <w:div w:id="1062169697">
      <w:bodyDiv w:val="1"/>
      <w:marLeft w:val="0"/>
      <w:marRight w:val="0"/>
      <w:marTop w:val="0"/>
      <w:marBottom w:val="0"/>
      <w:divBdr>
        <w:top w:val="none" w:sz="0" w:space="0" w:color="auto"/>
        <w:left w:val="none" w:sz="0" w:space="0" w:color="auto"/>
        <w:bottom w:val="none" w:sz="0" w:space="0" w:color="auto"/>
        <w:right w:val="none" w:sz="0" w:space="0" w:color="auto"/>
      </w:divBdr>
    </w:div>
    <w:div w:id="1063678675">
      <w:bodyDiv w:val="1"/>
      <w:marLeft w:val="0"/>
      <w:marRight w:val="0"/>
      <w:marTop w:val="0"/>
      <w:marBottom w:val="0"/>
      <w:divBdr>
        <w:top w:val="none" w:sz="0" w:space="0" w:color="auto"/>
        <w:left w:val="none" w:sz="0" w:space="0" w:color="auto"/>
        <w:bottom w:val="none" w:sz="0" w:space="0" w:color="auto"/>
        <w:right w:val="none" w:sz="0" w:space="0" w:color="auto"/>
      </w:divBdr>
    </w:div>
    <w:div w:id="1074939604">
      <w:bodyDiv w:val="1"/>
      <w:marLeft w:val="0"/>
      <w:marRight w:val="0"/>
      <w:marTop w:val="0"/>
      <w:marBottom w:val="0"/>
      <w:divBdr>
        <w:top w:val="none" w:sz="0" w:space="0" w:color="auto"/>
        <w:left w:val="none" w:sz="0" w:space="0" w:color="auto"/>
        <w:bottom w:val="none" w:sz="0" w:space="0" w:color="auto"/>
        <w:right w:val="none" w:sz="0" w:space="0" w:color="auto"/>
      </w:divBdr>
    </w:div>
    <w:div w:id="1082022881">
      <w:bodyDiv w:val="1"/>
      <w:marLeft w:val="0"/>
      <w:marRight w:val="0"/>
      <w:marTop w:val="0"/>
      <w:marBottom w:val="0"/>
      <w:divBdr>
        <w:top w:val="none" w:sz="0" w:space="0" w:color="auto"/>
        <w:left w:val="none" w:sz="0" w:space="0" w:color="auto"/>
        <w:bottom w:val="none" w:sz="0" w:space="0" w:color="auto"/>
        <w:right w:val="none" w:sz="0" w:space="0" w:color="auto"/>
      </w:divBdr>
      <w:divsChild>
        <w:div w:id="1418743378">
          <w:marLeft w:val="0"/>
          <w:marRight w:val="0"/>
          <w:marTop w:val="0"/>
          <w:marBottom w:val="0"/>
          <w:divBdr>
            <w:top w:val="none" w:sz="0" w:space="0" w:color="auto"/>
            <w:left w:val="none" w:sz="0" w:space="0" w:color="auto"/>
            <w:bottom w:val="none" w:sz="0" w:space="0" w:color="auto"/>
            <w:right w:val="none" w:sz="0" w:space="0" w:color="auto"/>
          </w:divBdr>
          <w:divsChild>
            <w:div w:id="2093306665">
              <w:marLeft w:val="0"/>
              <w:marRight w:val="0"/>
              <w:marTop w:val="0"/>
              <w:marBottom w:val="0"/>
              <w:divBdr>
                <w:top w:val="none" w:sz="0" w:space="0" w:color="auto"/>
                <w:left w:val="none" w:sz="0" w:space="0" w:color="auto"/>
                <w:bottom w:val="none" w:sz="0" w:space="0" w:color="auto"/>
                <w:right w:val="none" w:sz="0" w:space="0" w:color="auto"/>
              </w:divBdr>
            </w:div>
            <w:div w:id="1825585757">
              <w:marLeft w:val="0"/>
              <w:marRight w:val="0"/>
              <w:marTop w:val="0"/>
              <w:marBottom w:val="0"/>
              <w:divBdr>
                <w:top w:val="none" w:sz="0" w:space="0" w:color="auto"/>
                <w:left w:val="none" w:sz="0" w:space="0" w:color="auto"/>
                <w:bottom w:val="none" w:sz="0" w:space="0" w:color="auto"/>
                <w:right w:val="none" w:sz="0" w:space="0" w:color="auto"/>
              </w:divBdr>
            </w:div>
            <w:div w:id="264771288">
              <w:marLeft w:val="0"/>
              <w:marRight w:val="0"/>
              <w:marTop w:val="0"/>
              <w:marBottom w:val="0"/>
              <w:divBdr>
                <w:top w:val="none" w:sz="0" w:space="0" w:color="auto"/>
                <w:left w:val="none" w:sz="0" w:space="0" w:color="auto"/>
                <w:bottom w:val="none" w:sz="0" w:space="0" w:color="auto"/>
                <w:right w:val="none" w:sz="0" w:space="0" w:color="auto"/>
              </w:divBdr>
            </w:div>
            <w:div w:id="1788426729">
              <w:marLeft w:val="0"/>
              <w:marRight w:val="0"/>
              <w:marTop w:val="0"/>
              <w:marBottom w:val="0"/>
              <w:divBdr>
                <w:top w:val="none" w:sz="0" w:space="0" w:color="auto"/>
                <w:left w:val="none" w:sz="0" w:space="0" w:color="auto"/>
                <w:bottom w:val="none" w:sz="0" w:space="0" w:color="auto"/>
                <w:right w:val="none" w:sz="0" w:space="0" w:color="auto"/>
              </w:divBdr>
            </w:div>
            <w:div w:id="1195967643">
              <w:marLeft w:val="0"/>
              <w:marRight w:val="0"/>
              <w:marTop w:val="0"/>
              <w:marBottom w:val="0"/>
              <w:divBdr>
                <w:top w:val="none" w:sz="0" w:space="0" w:color="auto"/>
                <w:left w:val="none" w:sz="0" w:space="0" w:color="auto"/>
                <w:bottom w:val="none" w:sz="0" w:space="0" w:color="auto"/>
                <w:right w:val="none" w:sz="0" w:space="0" w:color="auto"/>
              </w:divBdr>
            </w:div>
            <w:div w:id="1011180390">
              <w:marLeft w:val="0"/>
              <w:marRight w:val="0"/>
              <w:marTop w:val="0"/>
              <w:marBottom w:val="0"/>
              <w:divBdr>
                <w:top w:val="none" w:sz="0" w:space="0" w:color="auto"/>
                <w:left w:val="none" w:sz="0" w:space="0" w:color="auto"/>
                <w:bottom w:val="none" w:sz="0" w:space="0" w:color="auto"/>
                <w:right w:val="none" w:sz="0" w:space="0" w:color="auto"/>
              </w:divBdr>
            </w:div>
            <w:div w:id="1847551388">
              <w:marLeft w:val="0"/>
              <w:marRight w:val="0"/>
              <w:marTop w:val="0"/>
              <w:marBottom w:val="0"/>
              <w:divBdr>
                <w:top w:val="none" w:sz="0" w:space="0" w:color="auto"/>
                <w:left w:val="none" w:sz="0" w:space="0" w:color="auto"/>
                <w:bottom w:val="none" w:sz="0" w:space="0" w:color="auto"/>
                <w:right w:val="none" w:sz="0" w:space="0" w:color="auto"/>
              </w:divBdr>
            </w:div>
            <w:div w:id="647170539">
              <w:marLeft w:val="0"/>
              <w:marRight w:val="0"/>
              <w:marTop w:val="0"/>
              <w:marBottom w:val="0"/>
              <w:divBdr>
                <w:top w:val="none" w:sz="0" w:space="0" w:color="auto"/>
                <w:left w:val="none" w:sz="0" w:space="0" w:color="auto"/>
                <w:bottom w:val="none" w:sz="0" w:space="0" w:color="auto"/>
                <w:right w:val="none" w:sz="0" w:space="0" w:color="auto"/>
              </w:divBdr>
            </w:div>
            <w:div w:id="2015112565">
              <w:marLeft w:val="0"/>
              <w:marRight w:val="0"/>
              <w:marTop w:val="0"/>
              <w:marBottom w:val="0"/>
              <w:divBdr>
                <w:top w:val="none" w:sz="0" w:space="0" w:color="auto"/>
                <w:left w:val="none" w:sz="0" w:space="0" w:color="auto"/>
                <w:bottom w:val="none" w:sz="0" w:space="0" w:color="auto"/>
                <w:right w:val="none" w:sz="0" w:space="0" w:color="auto"/>
              </w:divBdr>
            </w:div>
            <w:div w:id="1891069392">
              <w:marLeft w:val="0"/>
              <w:marRight w:val="0"/>
              <w:marTop w:val="0"/>
              <w:marBottom w:val="0"/>
              <w:divBdr>
                <w:top w:val="none" w:sz="0" w:space="0" w:color="auto"/>
                <w:left w:val="none" w:sz="0" w:space="0" w:color="auto"/>
                <w:bottom w:val="none" w:sz="0" w:space="0" w:color="auto"/>
                <w:right w:val="none" w:sz="0" w:space="0" w:color="auto"/>
              </w:divBdr>
            </w:div>
            <w:div w:id="1708675564">
              <w:marLeft w:val="0"/>
              <w:marRight w:val="0"/>
              <w:marTop w:val="0"/>
              <w:marBottom w:val="0"/>
              <w:divBdr>
                <w:top w:val="none" w:sz="0" w:space="0" w:color="auto"/>
                <w:left w:val="none" w:sz="0" w:space="0" w:color="auto"/>
                <w:bottom w:val="none" w:sz="0" w:space="0" w:color="auto"/>
                <w:right w:val="none" w:sz="0" w:space="0" w:color="auto"/>
              </w:divBdr>
            </w:div>
            <w:div w:id="1629046146">
              <w:marLeft w:val="0"/>
              <w:marRight w:val="0"/>
              <w:marTop w:val="0"/>
              <w:marBottom w:val="0"/>
              <w:divBdr>
                <w:top w:val="none" w:sz="0" w:space="0" w:color="auto"/>
                <w:left w:val="none" w:sz="0" w:space="0" w:color="auto"/>
                <w:bottom w:val="none" w:sz="0" w:space="0" w:color="auto"/>
                <w:right w:val="none" w:sz="0" w:space="0" w:color="auto"/>
              </w:divBdr>
            </w:div>
            <w:div w:id="559680552">
              <w:marLeft w:val="0"/>
              <w:marRight w:val="0"/>
              <w:marTop w:val="0"/>
              <w:marBottom w:val="0"/>
              <w:divBdr>
                <w:top w:val="none" w:sz="0" w:space="0" w:color="auto"/>
                <w:left w:val="none" w:sz="0" w:space="0" w:color="auto"/>
                <w:bottom w:val="none" w:sz="0" w:space="0" w:color="auto"/>
                <w:right w:val="none" w:sz="0" w:space="0" w:color="auto"/>
              </w:divBdr>
            </w:div>
            <w:div w:id="1618952440">
              <w:marLeft w:val="0"/>
              <w:marRight w:val="0"/>
              <w:marTop w:val="0"/>
              <w:marBottom w:val="0"/>
              <w:divBdr>
                <w:top w:val="none" w:sz="0" w:space="0" w:color="auto"/>
                <w:left w:val="none" w:sz="0" w:space="0" w:color="auto"/>
                <w:bottom w:val="none" w:sz="0" w:space="0" w:color="auto"/>
                <w:right w:val="none" w:sz="0" w:space="0" w:color="auto"/>
              </w:divBdr>
            </w:div>
            <w:div w:id="331489913">
              <w:marLeft w:val="0"/>
              <w:marRight w:val="0"/>
              <w:marTop w:val="0"/>
              <w:marBottom w:val="0"/>
              <w:divBdr>
                <w:top w:val="none" w:sz="0" w:space="0" w:color="auto"/>
                <w:left w:val="none" w:sz="0" w:space="0" w:color="auto"/>
                <w:bottom w:val="none" w:sz="0" w:space="0" w:color="auto"/>
                <w:right w:val="none" w:sz="0" w:space="0" w:color="auto"/>
              </w:divBdr>
            </w:div>
            <w:div w:id="7604642">
              <w:marLeft w:val="0"/>
              <w:marRight w:val="0"/>
              <w:marTop w:val="0"/>
              <w:marBottom w:val="0"/>
              <w:divBdr>
                <w:top w:val="none" w:sz="0" w:space="0" w:color="auto"/>
                <w:left w:val="none" w:sz="0" w:space="0" w:color="auto"/>
                <w:bottom w:val="none" w:sz="0" w:space="0" w:color="auto"/>
                <w:right w:val="none" w:sz="0" w:space="0" w:color="auto"/>
              </w:divBdr>
            </w:div>
            <w:div w:id="700975493">
              <w:marLeft w:val="0"/>
              <w:marRight w:val="0"/>
              <w:marTop w:val="0"/>
              <w:marBottom w:val="0"/>
              <w:divBdr>
                <w:top w:val="none" w:sz="0" w:space="0" w:color="auto"/>
                <w:left w:val="none" w:sz="0" w:space="0" w:color="auto"/>
                <w:bottom w:val="none" w:sz="0" w:space="0" w:color="auto"/>
                <w:right w:val="none" w:sz="0" w:space="0" w:color="auto"/>
              </w:divBdr>
            </w:div>
            <w:div w:id="1133208190">
              <w:marLeft w:val="0"/>
              <w:marRight w:val="0"/>
              <w:marTop w:val="0"/>
              <w:marBottom w:val="0"/>
              <w:divBdr>
                <w:top w:val="none" w:sz="0" w:space="0" w:color="auto"/>
                <w:left w:val="none" w:sz="0" w:space="0" w:color="auto"/>
                <w:bottom w:val="none" w:sz="0" w:space="0" w:color="auto"/>
                <w:right w:val="none" w:sz="0" w:space="0" w:color="auto"/>
              </w:divBdr>
            </w:div>
            <w:div w:id="238832949">
              <w:marLeft w:val="0"/>
              <w:marRight w:val="0"/>
              <w:marTop w:val="0"/>
              <w:marBottom w:val="0"/>
              <w:divBdr>
                <w:top w:val="none" w:sz="0" w:space="0" w:color="auto"/>
                <w:left w:val="none" w:sz="0" w:space="0" w:color="auto"/>
                <w:bottom w:val="none" w:sz="0" w:space="0" w:color="auto"/>
                <w:right w:val="none" w:sz="0" w:space="0" w:color="auto"/>
              </w:divBdr>
            </w:div>
            <w:div w:id="144128055">
              <w:marLeft w:val="0"/>
              <w:marRight w:val="0"/>
              <w:marTop w:val="0"/>
              <w:marBottom w:val="0"/>
              <w:divBdr>
                <w:top w:val="none" w:sz="0" w:space="0" w:color="auto"/>
                <w:left w:val="none" w:sz="0" w:space="0" w:color="auto"/>
                <w:bottom w:val="none" w:sz="0" w:space="0" w:color="auto"/>
                <w:right w:val="none" w:sz="0" w:space="0" w:color="auto"/>
              </w:divBdr>
            </w:div>
            <w:div w:id="991253643">
              <w:marLeft w:val="0"/>
              <w:marRight w:val="0"/>
              <w:marTop w:val="0"/>
              <w:marBottom w:val="0"/>
              <w:divBdr>
                <w:top w:val="none" w:sz="0" w:space="0" w:color="auto"/>
                <w:left w:val="none" w:sz="0" w:space="0" w:color="auto"/>
                <w:bottom w:val="none" w:sz="0" w:space="0" w:color="auto"/>
                <w:right w:val="none" w:sz="0" w:space="0" w:color="auto"/>
              </w:divBdr>
            </w:div>
            <w:div w:id="1837726644">
              <w:marLeft w:val="0"/>
              <w:marRight w:val="0"/>
              <w:marTop w:val="0"/>
              <w:marBottom w:val="0"/>
              <w:divBdr>
                <w:top w:val="none" w:sz="0" w:space="0" w:color="auto"/>
                <w:left w:val="none" w:sz="0" w:space="0" w:color="auto"/>
                <w:bottom w:val="none" w:sz="0" w:space="0" w:color="auto"/>
                <w:right w:val="none" w:sz="0" w:space="0" w:color="auto"/>
              </w:divBdr>
            </w:div>
            <w:div w:id="1562907555">
              <w:marLeft w:val="0"/>
              <w:marRight w:val="0"/>
              <w:marTop w:val="0"/>
              <w:marBottom w:val="0"/>
              <w:divBdr>
                <w:top w:val="none" w:sz="0" w:space="0" w:color="auto"/>
                <w:left w:val="none" w:sz="0" w:space="0" w:color="auto"/>
                <w:bottom w:val="none" w:sz="0" w:space="0" w:color="auto"/>
                <w:right w:val="none" w:sz="0" w:space="0" w:color="auto"/>
              </w:divBdr>
            </w:div>
            <w:div w:id="1499229007">
              <w:marLeft w:val="0"/>
              <w:marRight w:val="0"/>
              <w:marTop w:val="0"/>
              <w:marBottom w:val="0"/>
              <w:divBdr>
                <w:top w:val="none" w:sz="0" w:space="0" w:color="auto"/>
                <w:left w:val="none" w:sz="0" w:space="0" w:color="auto"/>
                <w:bottom w:val="none" w:sz="0" w:space="0" w:color="auto"/>
                <w:right w:val="none" w:sz="0" w:space="0" w:color="auto"/>
              </w:divBdr>
            </w:div>
            <w:div w:id="1436680704">
              <w:marLeft w:val="0"/>
              <w:marRight w:val="0"/>
              <w:marTop w:val="0"/>
              <w:marBottom w:val="0"/>
              <w:divBdr>
                <w:top w:val="none" w:sz="0" w:space="0" w:color="auto"/>
                <w:left w:val="none" w:sz="0" w:space="0" w:color="auto"/>
                <w:bottom w:val="none" w:sz="0" w:space="0" w:color="auto"/>
                <w:right w:val="none" w:sz="0" w:space="0" w:color="auto"/>
              </w:divBdr>
            </w:div>
            <w:div w:id="1044327003">
              <w:marLeft w:val="0"/>
              <w:marRight w:val="0"/>
              <w:marTop w:val="0"/>
              <w:marBottom w:val="0"/>
              <w:divBdr>
                <w:top w:val="none" w:sz="0" w:space="0" w:color="auto"/>
                <w:left w:val="none" w:sz="0" w:space="0" w:color="auto"/>
                <w:bottom w:val="none" w:sz="0" w:space="0" w:color="auto"/>
                <w:right w:val="none" w:sz="0" w:space="0" w:color="auto"/>
              </w:divBdr>
            </w:div>
            <w:div w:id="1827472915">
              <w:marLeft w:val="0"/>
              <w:marRight w:val="0"/>
              <w:marTop w:val="0"/>
              <w:marBottom w:val="0"/>
              <w:divBdr>
                <w:top w:val="none" w:sz="0" w:space="0" w:color="auto"/>
                <w:left w:val="none" w:sz="0" w:space="0" w:color="auto"/>
                <w:bottom w:val="none" w:sz="0" w:space="0" w:color="auto"/>
                <w:right w:val="none" w:sz="0" w:space="0" w:color="auto"/>
              </w:divBdr>
            </w:div>
            <w:div w:id="598299505">
              <w:marLeft w:val="0"/>
              <w:marRight w:val="0"/>
              <w:marTop w:val="0"/>
              <w:marBottom w:val="0"/>
              <w:divBdr>
                <w:top w:val="none" w:sz="0" w:space="0" w:color="auto"/>
                <w:left w:val="none" w:sz="0" w:space="0" w:color="auto"/>
                <w:bottom w:val="none" w:sz="0" w:space="0" w:color="auto"/>
                <w:right w:val="none" w:sz="0" w:space="0" w:color="auto"/>
              </w:divBdr>
            </w:div>
            <w:div w:id="684476666">
              <w:marLeft w:val="0"/>
              <w:marRight w:val="0"/>
              <w:marTop w:val="0"/>
              <w:marBottom w:val="0"/>
              <w:divBdr>
                <w:top w:val="none" w:sz="0" w:space="0" w:color="auto"/>
                <w:left w:val="none" w:sz="0" w:space="0" w:color="auto"/>
                <w:bottom w:val="none" w:sz="0" w:space="0" w:color="auto"/>
                <w:right w:val="none" w:sz="0" w:space="0" w:color="auto"/>
              </w:divBdr>
            </w:div>
            <w:div w:id="1252348955">
              <w:marLeft w:val="0"/>
              <w:marRight w:val="0"/>
              <w:marTop w:val="0"/>
              <w:marBottom w:val="0"/>
              <w:divBdr>
                <w:top w:val="none" w:sz="0" w:space="0" w:color="auto"/>
                <w:left w:val="none" w:sz="0" w:space="0" w:color="auto"/>
                <w:bottom w:val="none" w:sz="0" w:space="0" w:color="auto"/>
                <w:right w:val="none" w:sz="0" w:space="0" w:color="auto"/>
              </w:divBdr>
            </w:div>
            <w:div w:id="641272551">
              <w:marLeft w:val="0"/>
              <w:marRight w:val="0"/>
              <w:marTop w:val="0"/>
              <w:marBottom w:val="0"/>
              <w:divBdr>
                <w:top w:val="none" w:sz="0" w:space="0" w:color="auto"/>
                <w:left w:val="none" w:sz="0" w:space="0" w:color="auto"/>
                <w:bottom w:val="none" w:sz="0" w:space="0" w:color="auto"/>
                <w:right w:val="none" w:sz="0" w:space="0" w:color="auto"/>
              </w:divBdr>
            </w:div>
            <w:div w:id="1576357405">
              <w:marLeft w:val="0"/>
              <w:marRight w:val="0"/>
              <w:marTop w:val="0"/>
              <w:marBottom w:val="0"/>
              <w:divBdr>
                <w:top w:val="none" w:sz="0" w:space="0" w:color="auto"/>
                <w:left w:val="none" w:sz="0" w:space="0" w:color="auto"/>
                <w:bottom w:val="none" w:sz="0" w:space="0" w:color="auto"/>
                <w:right w:val="none" w:sz="0" w:space="0" w:color="auto"/>
              </w:divBdr>
            </w:div>
            <w:div w:id="1510757229">
              <w:marLeft w:val="0"/>
              <w:marRight w:val="0"/>
              <w:marTop w:val="0"/>
              <w:marBottom w:val="0"/>
              <w:divBdr>
                <w:top w:val="none" w:sz="0" w:space="0" w:color="auto"/>
                <w:left w:val="none" w:sz="0" w:space="0" w:color="auto"/>
                <w:bottom w:val="none" w:sz="0" w:space="0" w:color="auto"/>
                <w:right w:val="none" w:sz="0" w:space="0" w:color="auto"/>
              </w:divBdr>
            </w:div>
            <w:div w:id="337847305">
              <w:marLeft w:val="0"/>
              <w:marRight w:val="0"/>
              <w:marTop w:val="0"/>
              <w:marBottom w:val="0"/>
              <w:divBdr>
                <w:top w:val="none" w:sz="0" w:space="0" w:color="auto"/>
                <w:left w:val="none" w:sz="0" w:space="0" w:color="auto"/>
                <w:bottom w:val="none" w:sz="0" w:space="0" w:color="auto"/>
                <w:right w:val="none" w:sz="0" w:space="0" w:color="auto"/>
              </w:divBdr>
            </w:div>
            <w:div w:id="139932562">
              <w:marLeft w:val="0"/>
              <w:marRight w:val="0"/>
              <w:marTop w:val="0"/>
              <w:marBottom w:val="0"/>
              <w:divBdr>
                <w:top w:val="none" w:sz="0" w:space="0" w:color="auto"/>
                <w:left w:val="none" w:sz="0" w:space="0" w:color="auto"/>
                <w:bottom w:val="none" w:sz="0" w:space="0" w:color="auto"/>
                <w:right w:val="none" w:sz="0" w:space="0" w:color="auto"/>
              </w:divBdr>
            </w:div>
            <w:div w:id="40328585">
              <w:marLeft w:val="0"/>
              <w:marRight w:val="0"/>
              <w:marTop w:val="0"/>
              <w:marBottom w:val="0"/>
              <w:divBdr>
                <w:top w:val="none" w:sz="0" w:space="0" w:color="auto"/>
                <w:left w:val="none" w:sz="0" w:space="0" w:color="auto"/>
                <w:bottom w:val="none" w:sz="0" w:space="0" w:color="auto"/>
                <w:right w:val="none" w:sz="0" w:space="0" w:color="auto"/>
              </w:divBdr>
            </w:div>
            <w:div w:id="1654603786">
              <w:marLeft w:val="0"/>
              <w:marRight w:val="0"/>
              <w:marTop w:val="0"/>
              <w:marBottom w:val="0"/>
              <w:divBdr>
                <w:top w:val="none" w:sz="0" w:space="0" w:color="auto"/>
                <w:left w:val="none" w:sz="0" w:space="0" w:color="auto"/>
                <w:bottom w:val="none" w:sz="0" w:space="0" w:color="auto"/>
                <w:right w:val="none" w:sz="0" w:space="0" w:color="auto"/>
              </w:divBdr>
            </w:div>
            <w:div w:id="1641694016">
              <w:marLeft w:val="0"/>
              <w:marRight w:val="0"/>
              <w:marTop w:val="0"/>
              <w:marBottom w:val="0"/>
              <w:divBdr>
                <w:top w:val="none" w:sz="0" w:space="0" w:color="auto"/>
                <w:left w:val="none" w:sz="0" w:space="0" w:color="auto"/>
                <w:bottom w:val="none" w:sz="0" w:space="0" w:color="auto"/>
                <w:right w:val="none" w:sz="0" w:space="0" w:color="auto"/>
              </w:divBdr>
            </w:div>
            <w:div w:id="2082671863">
              <w:marLeft w:val="0"/>
              <w:marRight w:val="0"/>
              <w:marTop w:val="0"/>
              <w:marBottom w:val="0"/>
              <w:divBdr>
                <w:top w:val="none" w:sz="0" w:space="0" w:color="auto"/>
                <w:left w:val="none" w:sz="0" w:space="0" w:color="auto"/>
                <w:bottom w:val="none" w:sz="0" w:space="0" w:color="auto"/>
                <w:right w:val="none" w:sz="0" w:space="0" w:color="auto"/>
              </w:divBdr>
            </w:div>
            <w:div w:id="1627737580">
              <w:marLeft w:val="0"/>
              <w:marRight w:val="0"/>
              <w:marTop w:val="0"/>
              <w:marBottom w:val="0"/>
              <w:divBdr>
                <w:top w:val="none" w:sz="0" w:space="0" w:color="auto"/>
                <w:left w:val="none" w:sz="0" w:space="0" w:color="auto"/>
                <w:bottom w:val="none" w:sz="0" w:space="0" w:color="auto"/>
                <w:right w:val="none" w:sz="0" w:space="0" w:color="auto"/>
              </w:divBdr>
            </w:div>
            <w:div w:id="1664429151">
              <w:marLeft w:val="0"/>
              <w:marRight w:val="0"/>
              <w:marTop w:val="0"/>
              <w:marBottom w:val="0"/>
              <w:divBdr>
                <w:top w:val="none" w:sz="0" w:space="0" w:color="auto"/>
                <w:left w:val="none" w:sz="0" w:space="0" w:color="auto"/>
                <w:bottom w:val="none" w:sz="0" w:space="0" w:color="auto"/>
                <w:right w:val="none" w:sz="0" w:space="0" w:color="auto"/>
              </w:divBdr>
            </w:div>
            <w:div w:id="1034964362">
              <w:marLeft w:val="0"/>
              <w:marRight w:val="0"/>
              <w:marTop w:val="0"/>
              <w:marBottom w:val="0"/>
              <w:divBdr>
                <w:top w:val="none" w:sz="0" w:space="0" w:color="auto"/>
                <w:left w:val="none" w:sz="0" w:space="0" w:color="auto"/>
                <w:bottom w:val="none" w:sz="0" w:space="0" w:color="auto"/>
                <w:right w:val="none" w:sz="0" w:space="0" w:color="auto"/>
              </w:divBdr>
            </w:div>
            <w:div w:id="1314486379">
              <w:marLeft w:val="0"/>
              <w:marRight w:val="0"/>
              <w:marTop w:val="0"/>
              <w:marBottom w:val="0"/>
              <w:divBdr>
                <w:top w:val="none" w:sz="0" w:space="0" w:color="auto"/>
                <w:left w:val="none" w:sz="0" w:space="0" w:color="auto"/>
                <w:bottom w:val="none" w:sz="0" w:space="0" w:color="auto"/>
                <w:right w:val="none" w:sz="0" w:space="0" w:color="auto"/>
              </w:divBdr>
            </w:div>
            <w:div w:id="1267421122">
              <w:marLeft w:val="0"/>
              <w:marRight w:val="0"/>
              <w:marTop w:val="0"/>
              <w:marBottom w:val="0"/>
              <w:divBdr>
                <w:top w:val="none" w:sz="0" w:space="0" w:color="auto"/>
                <w:left w:val="none" w:sz="0" w:space="0" w:color="auto"/>
                <w:bottom w:val="none" w:sz="0" w:space="0" w:color="auto"/>
                <w:right w:val="none" w:sz="0" w:space="0" w:color="auto"/>
              </w:divBdr>
            </w:div>
            <w:div w:id="1853452122">
              <w:marLeft w:val="0"/>
              <w:marRight w:val="0"/>
              <w:marTop w:val="0"/>
              <w:marBottom w:val="0"/>
              <w:divBdr>
                <w:top w:val="none" w:sz="0" w:space="0" w:color="auto"/>
                <w:left w:val="none" w:sz="0" w:space="0" w:color="auto"/>
                <w:bottom w:val="none" w:sz="0" w:space="0" w:color="auto"/>
                <w:right w:val="none" w:sz="0" w:space="0" w:color="auto"/>
              </w:divBdr>
            </w:div>
            <w:div w:id="106513320">
              <w:marLeft w:val="0"/>
              <w:marRight w:val="0"/>
              <w:marTop w:val="0"/>
              <w:marBottom w:val="0"/>
              <w:divBdr>
                <w:top w:val="none" w:sz="0" w:space="0" w:color="auto"/>
                <w:left w:val="none" w:sz="0" w:space="0" w:color="auto"/>
                <w:bottom w:val="none" w:sz="0" w:space="0" w:color="auto"/>
                <w:right w:val="none" w:sz="0" w:space="0" w:color="auto"/>
              </w:divBdr>
            </w:div>
            <w:div w:id="745540761">
              <w:marLeft w:val="0"/>
              <w:marRight w:val="0"/>
              <w:marTop w:val="0"/>
              <w:marBottom w:val="0"/>
              <w:divBdr>
                <w:top w:val="none" w:sz="0" w:space="0" w:color="auto"/>
                <w:left w:val="none" w:sz="0" w:space="0" w:color="auto"/>
                <w:bottom w:val="none" w:sz="0" w:space="0" w:color="auto"/>
                <w:right w:val="none" w:sz="0" w:space="0" w:color="auto"/>
              </w:divBdr>
            </w:div>
            <w:div w:id="1554194454">
              <w:marLeft w:val="0"/>
              <w:marRight w:val="0"/>
              <w:marTop w:val="0"/>
              <w:marBottom w:val="0"/>
              <w:divBdr>
                <w:top w:val="none" w:sz="0" w:space="0" w:color="auto"/>
                <w:left w:val="none" w:sz="0" w:space="0" w:color="auto"/>
                <w:bottom w:val="none" w:sz="0" w:space="0" w:color="auto"/>
                <w:right w:val="none" w:sz="0" w:space="0" w:color="auto"/>
              </w:divBdr>
            </w:div>
            <w:div w:id="40137277">
              <w:marLeft w:val="0"/>
              <w:marRight w:val="0"/>
              <w:marTop w:val="0"/>
              <w:marBottom w:val="0"/>
              <w:divBdr>
                <w:top w:val="none" w:sz="0" w:space="0" w:color="auto"/>
                <w:left w:val="none" w:sz="0" w:space="0" w:color="auto"/>
                <w:bottom w:val="none" w:sz="0" w:space="0" w:color="auto"/>
                <w:right w:val="none" w:sz="0" w:space="0" w:color="auto"/>
              </w:divBdr>
            </w:div>
            <w:div w:id="1122461714">
              <w:marLeft w:val="0"/>
              <w:marRight w:val="0"/>
              <w:marTop w:val="0"/>
              <w:marBottom w:val="0"/>
              <w:divBdr>
                <w:top w:val="none" w:sz="0" w:space="0" w:color="auto"/>
                <w:left w:val="none" w:sz="0" w:space="0" w:color="auto"/>
                <w:bottom w:val="none" w:sz="0" w:space="0" w:color="auto"/>
                <w:right w:val="none" w:sz="0" w:space="0" w:color="auto"/>
              </w:divBdr>
            </w:div>
            <w:div w:id="405805616">
              <w:marLeft w:val="0"/>
              <w:marRight w:val="0"/>
              <w:marTop w:val="0"/>
              <w:marBottom w:val="0"/>
              <w:divBdr>
                <w:top w:val="none" w:sz="0" w:space="0" w:color="auto"/>
                <w:left w:val="none" w:sz="0" w:space="0" w:color="auto"/>
                <w:bottom w:val="none" w:sz="0" w:space="0" w:color="auto"/>
                <w:right w:val="none" w:sz="0" w:space="0" w:color="auto"/>
              </w:divBdr>
            </w:div>
            <w:div w:id="871191441">
              <w:marLeft w:val="0"/>
              <w:marRight w:val="0"/>
              <w:marTop w:val="0"/>
              <w:marBottom w:val="0"/>
              <w:divBdr>
                <w:top w:val="none" w:sz="0" w:space="0" w:color="auto"/>
                <w:left w:val="none" w:sz="0" w:space="0" w:color="auto"/>
                <w:bottom w:val="none" w:sz="0" w:space="0" w:color="auto"/>
                <w:right w:val="none" w:sz="0" w:space="0" w:color="auto"/>
              </w:divBdr>
            </w:div>
            <w:div w:id="128983473">
              <w:marLeft w:val="0"/>
              <w:marRight w:val="0"/>
              <w:marTop w:val="0"/>
              <w:marBottom w:val="0"/>
              <w:divBdr>
                <w:top w:val="none" w:sz="0" w:space="0" w:color="auto"/>
                <w:left w:val="none" w:sz="0" w:space="0" w:color="auto"/>
                <w:bottom w:val="none" w:sz="0" w:space="0" w:color="auto"/>
                <w:right w:val="none" w:sz="0" w:space="0" w:color="auto"/>
              </w:divBdr>
            </w:div>
            <w:div w:id="250898904">
              <w:marLeft w:val="0"/>
              <w:marRight w:val="0"/>
              <w:marTop w:val="0"/>
              <w:marBottom w:val="0"/>
              <w:divBdr>
                <w:top w:val="none" w:sz="0" w:space="0" w:color="auto"/>
                <w:left w:val="none" w:sz="0" w:space="0" w:color="auto"/>
                <w:bottom w:val="none" w:sz="0" w:space="0" w:color="auto"/>
                <w:right w:val="none" w:sz="0" w:space="0" w:color="auto"/>
              </w:divBdr>
            </w:div>
            <w:div w:id="1029989763">
              <w:marLeft w:val="0"/>
              <w:marRight w:val="0"/>
              <w:marTop w:val="0"/>
              <w:marBottom w:val="0"/>
              <w:divBdr>
                <w:top w:val="none" w:sz="0" w:space="0" w:color="auto"/>
                <w:left w:val="none" w:sz="0" w:space="0" w:color="auto"/>
                <w:bottom w:val="none" w:sz="0" w:space="0" w:color="auto"/>
                <w:right w:val="none" w:sz="0" w:space="0" w:color="auto"/>
              </w:divBdr>
            </w:div>
            <w:div w:id="2017153148">
              <w:marLeft w:val="0"/>
              <w:marRight w:val="0"/>
              <w:marTop w:val="0"/>
              <w:marBottom w:val="0"/>
              <w:divBdr>
                <w:top w:val="none" w:sz="0" w:space="0" w:color="auto"/>
                <w:left w:val="none" w:sz="0" w:space="0" w:color="auto"/>
                <w:bottom w:val="none" w:sz="0" w:space="0" w:color="auto"/>
                <w:right w:val="none" w:sz="0" w:space="0" w:color="auto"/>
              </w:divBdr>
            </w:div>
            <w:div w:id="1020813146">
              <w:marLeft w:val="0"/>
              <w:marRight w:val="0"/>
              <w:marTop w:val="0"/>
              <w:marBottom w:val="0"/>
              <w:divBdr>
                <w:top w:val="none" w:sz="0" w:space="0" w:color="auto"/>
                <w:left w:val="none" w:sz="0" w:space="0" w:color="auto"/>
                <w:bottom w:val="none" w:sz="0" w:space="0" w:color="auto"/>
                <w:right w:val="none" w:sz="0" w:space="0" w:color="auto"/>
              </w:divBdr>
            </w:div>
            <w:div w:id="741368625">
              <w:marLeft w:val="0"/>
              <w:marRight w:val="0"/>
              <w:marTop w:val="0"/>
              <w:marBottom w:val="0"/>
              <w:divBdr>
                <w:top w:val="none" w:sz="0" w:space="0" w:color="auto"/>
                <w:left w:val="none" w:sz="0" w:space="0" w:color="auto"/>
                <w:bottom w:val="none" w:sz="0" w:space="0" w:color="auto"/>
                <w:right w:val="none" w:sz="0" w:space="0" w:color="auto"/>
              </w:divBdr>
            </w:div>
            <w:div w:id="1674381346">
              <w:marLeft w:val="0"/>
              <w:marRight w:val="0"/>
              <w:marTop w:val="0"/>
              <w:marBottom w:val="0"/>
              <w:divBdr>
                <w:top w:val="none" w:sz="0" w:space="0" w:color="auto"/>
                <w:left w:val="none" w:sz="0" w:space="0" w:color="auto"/>
                <w:bottom w:val="none" w:sz="0" w:space="0" w:color="auto"/>
                <w:right w:val="none" w:sz="0" w:space="0" w:color="auto"/>
              </w:divBdr>
            </w:div>
            <w:div w:id="2065173194">
              <w:marLeft w:val="0"/>
              <w:marRight w:val="0"/>
              <w:marTop w:val="0"/>
              <w:marBottom w:val="0"/>
              <w:divBdr>
                <w:top w:val="none" w:sz="0" w:space="0" w:color="auto"/>
                <w:left w:val="none" w:sz="0" w:space="0" w:color="auto"/>
                <w:bottom w:val="none" w:sz="0" w:space="0" w:color="auto"/>
                <w:right w:val="none" w:sz="0" w:space="0" w:color="auto"/>
              </w:divBdr>
            </w:div>
            <w:div w:id="53436155">
              <w:marLeft w:val="0"/>
              <w:marRight w:val="0"/>
              <w:marTop w:val="0"/>
              <w:marBottom w:val="0"/>
              <w:divBdr>
                <w:top w:val="none" w:sz="0" w:space="0" w:color="auto"/>
                <w:left w:val="none" w:sz="0" w:space="0" w:color="auto"/>
                <w:bottom w:val="none" w:sz="0" w:space="0" w:color="auto"/>
                <w:right w:val="none" w:sz="0" w:space="0" w:color="auto"/>
              </w:divBdr>
            </w:div>
            <w:div w:id="2030451832">
              <w:marLeft w:val="0"/>
              <w:marRight w:val="0"/>
              <w:marTop w:val="0"/>
              <w:marBottom w:val="0"/>
              <w:divBdr>
                <w:top w:val="none" w:sz="0" w:space="0" w:color="auto"/>
                <w:left w:val="none" w:sz="0" w:space="0" w:color="auto"/>
                <w:bottom w:val="none" w:sz="0" w:space="0" w:color="auto"/>
                <w:right w:val="none" w:sz="0" w:space="0" w:color="auto"/>
              </w:divBdr>
            </w:div>
            <w:div w:id="1923105577">
              <w:marLeft w:val="0"/>
              <w:marRight w:val="0"/>
              <w:marTop w:val="0"/>
              <w:marBottom w:val="0"/>
              <w:divBdr>
                <w:top w:val="none" w:sz="0" w:space="0" w:color="auto"/>
                <w:left w:val="none" w:sz="0" w:space="0" w:color="auto"/>
                <w:bottom w:val="none" w:sz="0" w:space="0" w:color="auto"/>
                <w:right w:val="none" w:sz="0" w:space="0" w:color="auto"/>
              </w:divBdr>
            </w:div>
            <w:div w:id="389692014">
              <w:marLeft w:val="0"/>
              <w:marRight w:val="0"/>
              <w:marTop w:val="0"/>
              <w:marBottom w:val="0"/>
              <w:divBdr>
                <w:top w:val="none" w:sz="0" w:space="0" w:color="auto"/>
                <w:left w:val="none" w:sz="0" w:space="0" w:color="auto"/>
                <w:bottom w:val="none" w:sz="0" w:space="0" w:color="auto"/>
                <w:right w:val="none" w:sz="0" w:space="0" w:color="auto"/>
              </w:divBdr>
            </w:div>
            <w:div w:id="348604050">
              <w:marLeft w:val="0"/>
              <w:marRight w:val="0"/>
              <w:marTop w:val="0"/>
              <w:marBottom w:val="0"/>
              <w:divBdr>
                <w:top w:val="none" w:sz="0" w:space="0" w:color="auto"/>
                <w:left w:val="none" w:sz="0" w:space="0" w:color="auto"/>
                <w:bottom w:val="none" w:sz="0" w:space="0" w:color="auto"/>
                <w:right w:val="none" w:sz="0" w:space="0" w:color="auto"/>
              </w:divBdr>
            </w:div>
            <w:div w:id="1820733833">
              <w:marLeft w:val="0"/>
              <w:marRight w:val="0"/>
              <w:marTop w:val="0"/>
              <w:marBottom w:val="0"/>
              <w:divBdr>
                <w:top w:val="none" w:sz="0" w:space="0" w:color="auto"/>
                <w:left w:val="none" w:sz="0" w:space="0" w:color="auto"/>
                <w:bottom w:val="none" w:sz="0" w:space="0" w:color="auto"/>
                <w:right w:val="none" w:sz="0" w:space="0" w:color="auto"/>
              </w:divBdr>
            </w:div>
            <w:div w:id="1668249564">
              <w:marLeft w:val="0"/>
              <w:marRight w:val="0"/>
              <w:marTop w:val="0"/>
              <w:marBottom w:val="0"/>
              <w:divBdr>
                <w:top w:val="none" w:sz="0" w:space="0" w:color="auto"/>
                <w:left w:val="none" w:sz="0" w:space="0" w:color="auto"/>
                <w:bottom w:val="none" w:sz="0" w:space="0" w:color="auto"/>
                <w:right w:val="none" w:sz="0" w:space="0" w:color="auto"/>
              </w:divBdr>
            </w:div>
            <w:div w:id="1763574012">
              <w:marLeft w:val="0"/>
              <w:marRight w:val="0"/>
              <w:marTop w:val="0"/>
              <w:marBottom w:val="0"/>
              <w:divBdr>
                <w:top w:val="none" w:sz="0" w:space="0" w:color="auto"/>
                <w:left w:val="none" w:sz="0" w:space="0" w:color="auto"/>
                <w:bottom w:val="none" w:sz="0" w:space="0" w:color="auto"/>
                <w:right w:val="none" w:sz="0" w:space="0" w:color="auto"/>
              </w:divBdr>
            </w:div>
            <w:div w:id="1233615893">
              <w:marLeft w:val="0"/>
              <w:marRight w:val="0"/>
              <w:marTop w:val="0"/>
              <w:marBottom w:val="0"/>
              <w:divBdr>
                <w:top w:val="none" w:sz="0" w:space="0" w:color="auto"/>
                <w:left w:val="none" w:sz="0" w:space="0" w:color="auto"/>
                <w:bottom w:val="none" w:sz="0" w:space="0" w:color="auto"/>
                <w:right w:val="none" w:sz="0" w:space="0" w:color="auto"/>
              </w:divBdr>
            </w:div>
            <w:div w:id="1300846786">
              <w:marLeft w:val="0"/>
              <w:marRight w:val="0"/>
              <w:marTop w:val="0"/>
              <w:marBottom w:val="0"/>
              <w:divBdr>
                <w:top w:val="none" w:sz="0" w:space="0" w:color="auto"/>
                <w:left w:val="none" w:sz="0" w:space="0" w:color="auto"/>
                <w:bottom w:val="none" w:sz="0" w:space="0" w:color="auto"/>
                <w:right w:val="none" w:sz="0" w:space="0" w:color="auto"/>
              </w:divBdr>
            </w:div>
            <w:div w:id="873225218">
              <w:marLeft w:val="0"/>
              <w:marRight w:val="0"/>
              <w:marTop w:val="0"/>
              <w:marBottom w:val="0"/>
              <w:divBdr>
                <w:top w:val="none" w:sz="0" w:space="0" w:color="auto"/>
                <w:left w:val="none" w:sz="0" w:space="0" w:color="auto"/>
                <w:bottom w:val="none" w:sz="0" w:space="0" w:color="auto"/>
                <w:right w:val="none" w:sz="0" w:space="0" w:color="auto"/>
              </w:divBdr>
            </w:div>
            <w:div w:id="1384013924">
              <w:marLeft w:val="0"/>
              <w:marRight w:val="0"/>
              <w:marTop w:val="0"/>
              <w:marBottom w:val="0"/>
              <w:divBdr>
                <w:top w:val="none" w:sz="0" w:space="0" w:color="auto"/>
                <w:left w:val="none" w:sz="0" w:space="0" w:color="auto"/>
                <w:bottom w:val="none" w:sz="0" w:space="0" w:color="auto"/>
                <w:right w:val="none" w:sz="0" w:space="0" w:color="auto"/>
              </w:divBdr>
            </w:div>
            <w:div w:id="299456442">
              <w:marLeft w:val="0"/>
              <w:marRight w:val="0"/>
              <w:marTop w:val="0"/>
              <w:marBottom w:val="0"/>
              <w:divBdr>
                <w:top w:val="none" w:sz="0" w:space="0" w:color="auto"/>
                <w:left w:val="none" w:sz="0" w:space="0" w:color="auto"/>
                <w:bottom w:val="none" w:sz="0" w:space="0" w:color="auto"/>
                <w:right w:val="none" w:sz="0" w:space="0" w:color="auto"/>
              </w:divBdr>
            </w:div>
            <w:div w:id="302081236">
              <w:marLeft w:val="0"/>
              <w:marRight w:val="0"/>
              <w:marTop w:val="0"/>
              <w:marBottom w:val="0"/>
              <w:divBdr>
                <w:top w:val="none" w:sz="0" w:space="0" w:color="auto"/>
                <w:left w:val="none" w:sz="0" w:space="0" w:color="auto"/>
                <w:bottom w:val="none" w:sz="0" w:space="0" w:color="auto"/>
                <w:right w:val="none" w:sz="0" w:space="0" w:color="auto"/>
              </w:divBdr>
            </w:div>
            <w:div w:id="1269970349">
              <w:marLeft w:val="0"/>
              <w:marRight w:val="0"/>
              <w:marTop w:val="0"/>
              <w:marBottom w:val="0"/>
              <w:divBdr>
                <w:top w:val="none" w:sz="0" w:space="0" w:color="auto"/>
                <w:left w:val="none" w:sz="0" w:space="0" w:color="auto"/>
                <w:bottom w:val="none" w:sz="0" w:space="0" w:color="auto"/>
                <w:right w:val="none" w:sz="0" w:space="0" w:color="auto"/>
              </w:divBdr>
            </w:div>
            <w:div w:id="952326372">
              <w:marLeft w:val="0"/>
              <w:marRight w:val="0"/>
              <w:marTop w:val="0"/>
              <w:marBottom w:val="0"/>
              <w:divBdr>
                <w:top w:val="none" w:sz="0" w:space="0" w:color="auto"/>
                <w:left w:val="none" w:sz="0" w:space="0" w:color="auto"/>
                <w:bottom w:val="none" w:sz="0" w:space="0" w:color="auto"/>
                <w:right w:val="none" w:sz="0" w:space="0" w:color="auto"/>
              </w:divBdr>
            </w:div>
            <w:div w:id="1070301006">
              <w:marLeft w:val="0"/>
              <w:marRight w:val="0"/>
              <w:marTop w:val="0"/>
              <w:marBottom w:val="0"/>
              <w:divBdr>
                <w:top w:val="none" w:sz="0" w:space="0" w:color="auto"/>
                <w:left w:val="none" w:sz="0" w:space="0" w:color="auto"/>
                <w:bottom w:val="none" w:sz="0" w:space="0" w:color="auto"/>
                <w:right w:val="none" w:sz="0" w:space="0" w:color="auto"/>
              </w:divBdr>
            </w:div>
            <w:div w:id="1872840495">
              <w:marLeft w:val="0"/>
              <w:marRight w:val="0"/>
              <w:marTop w:val="0"/>
              <w:marBottom w:val="0"/>
              <w:divBdr>
                <w:top w:val="none" w:sz="0" w:space="0" w:color="auto"/>
                <w:left w:val="none" w:sz="0" w:space="0" w:color="auto"/>
                <w:bottom w:val="none" w:sz="0" w:space="0" w:color="auto"/>
                <w:right w:val="none" w:sz="0" w:space="0" w:color="auto"/>
              </w:divBdr>
            </w:div>
            <w:div w:id="1944729917">
              <w:marLeft w:val="0"/>
              <w:marRight w:val="0"/>
              <w:marTop w:val="0"/>
              <w:marBottom w:val="0"/>
              <w:divBdr>
                <w:top w:val="none" w:sz="0" w:space="0" w:color="auto"/>
                <w:left w:val="none" w:sz="0" w:space="0" w:color="auto"/>
                <w:bottom w:val="none" w:sz="0" w:space="0" w:color="auto"/>
                <w:right w:val="none" w:sz="0" w:space="0" w:color="auto"/>
              </w:divBdr>
            </w:div>
            <w:div w:id="1688868626">
              <w:marLeft w:val="0"/>
              <w:marRight w:val="0"/>
              <w:marTop w:val="0"/>
              <w:marBottom w:val="0"/>
              <w:divBdr>
                <w:top w:val="none" w:sz="0" w:space="0" w:color="auto"/>
                <w:left w:val="none" w:sz="0" w:space="0" w:color="auto"/>
                <w:bottom w:val="none" w:sz="0" w:space="0" w:color="auto"/>
                <w:right w:val="none" w:sz="0" w:space="0" w:color="auto"/>
              </w:divBdr>
            </w:div>
            <w:div w:id="676352387">
              <w:marLeft w:val="0"/>
              <w:marRight w:val="0"/>
              <w:marTop w:val="0"/>
              <w:marBottom w:val="0"/>
              <w:divBdr>
                <w:top w:val="none" w:sz="0" w:space="0" w:color="auto"/>
                <w:left w:val="none" w:sz="0" w:space="0" w:color="auto"/>
                <w:bottom w:val="none" w:sz="0" w:space="0" w:color="auto"/>
                <w:right w:val="none" w:sz="0" w:space="0" w:color="auto"/>
              </w:divBdr>
            </w:div>
            <w:div w:id="496576609">
              <w:marLeft w:val="0"/>
              <w:marRight w:val="0"/>
              <w:marTop w:val="0"/>
              <w:marBottom w:val="0"/>
              <w:divBdr>
                <w:top w:val="none" w:sz="0" w:space="0" w:color="auto"/>
                <w:left w:val="none" w:sz="0" w:space="0" w:color="auto"/>
                <w:bottom w:val="none" w:sz="0" w:space="0" w:color="auto"/>
                <w:right w:val="none" w:sz="0" w:space="0" w:color="auto"/>
              </w:divBdr>
            </w:div>
            <w:div w:id="313873624">
              <w:marLeft w:val="0"/>
              <w:marRight w:val="0"/>
              <w:marTop w:val="0"/>
              <w:marBottom w:val="0"/>
              <w:divBdr>
                <w:top w:val="none" w:sz="0" w:space="0" w:color="auto"/>
                <w:left w:val="none" w:sz="0" w:space="0" w:color="auto"/>
                <w:bottom w:val="none" w:sz="0" w:space="0" w:color="auto"/>
                <w:right w:val="none" w:sz="0" w:space="0" w:color="auto"/>
              </w:divBdr>
            </w:div>
            <w:div w:id="1902861042">
              <w:marLeft w:val="0"/>
              <w:marRight w:val="0"/>
              <w:marTop w:val="0"/>
              <w:marBottom w:val="0"/>
              <w:divBdr>
                <w:top w:val="none" w:sz="0" w:space="0" w:color="auto"/>
                <w:left w:val="none" w:sz="0" w:space="0" w:color="auto"/>
                <w:bottom w:val="none" w:sz="0" w:space="0" w:color="auto"/>
                <w:right w:val="none" w:sz="0" w:space="0" w:color="auto"/>
              </w:divBdr>
            </w:div>
            <w:div w:id="191766229">
              <w:marLeft w:val="0"/>
              <w:marRight w:val="0"/>
              <w:marTop w:val="0"/>
              <w:marBottom w:val="0"/>
              <w:divBdr>
                <w:top w:val="none" w:sz="0" w:space="0" w:color="auto"/>
                <w:left w:val="none" w:sz="0" w:space="0" w:color="auto"/>
                <w:bottom w:val="none" w:sz="0" w:space="0" w:color="auto"/>
                <w:right w:val="none" w:sz="0" w:space="0" w:color="auto"/>
              </w:divBdr>
            </w:div>
            <w:div w:id="1466047198">
              <w:marLeft w:val="0"/>
              <w:marRight w:val="0"/>
              <w:marTop w:val="0"/>
              <w:marBottom w:val="0"/>
              <w:divBdr>
                <w:top w:val="none" w:sz="0" w:space="0" w:color="auto"/>
                <w:left w:val="none" w:sz="0" w:space="0" w:color="auto"/>
                <w:bottom w:val="none" w:sz="0" w:space="0" w:color="auto"/>
                <w:right w:val="none" w:sz="0" w:space="0" w:color="auto"/>
              </w:divBdr>
            </w:div>
            <w:div w:id="1455248154">
              <w:marLeft w:val="0"/>
              <w:marRight w:val="0"/>
              <w:marTop w:val="0"/>
              <w:marBottom w:val="0"/>
              <w:divBdr>
                <w:top w:val="none" w:sz="0" w:space="0" w:color="auto"/>
                <w:left w:val="none" w:sz="0" w:space="0" w:color="auto"/>
                <w:bottom w:val="none" w:sz="0" w:space="0" w:color="auto"/>
                <w:right w:val="none" w:sz="0" w:space="0" w:color="auto"/>
              </w:divBdr>
            </w:div>
            <w:div w:id="859972515">
              <w:marLeft w:val="0"/>
              <w:marRight w:val="0"/>
              <w:marTop w:val="0"/>
              <w:marBottom w:val="0"/>
              <w:divBdr>
                <w:top w:val="none" w:sz="0" w:space="0" w:color="auto"/>
                <w:left w:val="none" w:sz="0" w:space="0" w:color="auto"/>
                <w:bottom w:val="none" w:sz="0" w:space="0" w:color="auto"/>
                <w:right w:val="none" w:sz="0" w:space="0" w:color="auto"/>
              </w:divBdr>
            </w:div>
            <w:div w:id="1099253418">
              <w:marLeft w:val="0"/>
              <w:marRight w:val="0"/>
              <w:marTop w:val="0"/>
              <w:marBottom w:val="0"/>
              <w:divBdr>
                <w:top w:val="none" w:sz="0" w:space="0" w:color="auto"/>
                <w:left w:val="none" w:sz="0" w:space="0" w:color="auto"/>
                <w:bottom w:val="none" w:sz="0" w:space="0" w:color="auto"/>
                <w:right w:val="none" w:sz="0" w:space="0" w:color="auto"/>
              </w:divBdr>
            </w:div>
            <w:div w:id="2040429483">
              <w:marLeft w:val="0"/>
              <w:marRight w:val="0"/>
              <w:marTop w:val="0"/>
              <w:marBottom w:val="0"/>
              <w:divBdr>
                <w:top w:val="none" w:sz="0" w:space="0" w:color="auto"/>
                <w:left w:val="none" w:sz="0" w:space="0" w:color="auto"/>
                <w:bottom w:val="none" w:sz="0" w:space="0" w:color="auto"/>
                <w:right w:val="none" w:sz="0" w:space="0" w:color="auto"/>
              </w:divBdr>
            </w:div>
            <w:div w:id="1993944672">
              <w:marLeft w:val="0"/>
              <w:marRight w:val="0"/>
              <w:marTop w:val="0"/>
              <w:marBottom w:val="0"/>
              <w:divBdr>
                <w:top w:val="none" w:sz="0" w:space="0" w:color="auto"/>
                <w:left w:val="none" w:sz="0" w:space="0" w:color="auto"/>
                <w:bottom w:val="none" w:sz="0" w:space="0" w:color="auto"/>
                <w:right w:val="none" w:sz="0" w:space="0" w:color="auto"/>
              </w:divBdr>
            </w:div>
            <w:div w:id="598753011">
              <w:marLeft w:val="0"/>
              <w:marRight w:val="0"/>
              <w:marTop w:val="0"/>
              <w:marBottom w:val="0"/>
              <w:divBdr>
                <w:top w:val="none" w:sz="0" w:space="0" w:color="auto"/>
                <w:left w:val="none" w:sz="0" w:space="0" w:color="auto"/>
                <w:bottom w:val="none" w:sz="0" w:space="0" w:color="auto"/>
                <w:right w:val="none" w:sz="0" w:space="0" w:color="auto"/>
              </w:divBdr>
            </w:div>
            <w:div w:id="185097281">
              <w:marLeft w:val="0"/>
              <w:marRight w:val="0"/>
              <w:marTop w:val="0"/>
              <w:marBottom w:val="0"/>
              <w:divBdr>
                <w:top w:val="none" w:sz="0" w:space="0" w:color="auto"/>
                <w:left w:val="none" w:sz="0" w:space="0" w:color="auto"/>
                <w:bottom w:val="none" w:sz="0" w:space="0" w:color="auto"/>
                <w:right w:val="none" w:sz="0" w:space="0" w:color="auto"/>
              </w:divBdr>
            </w:div>
            <w:div w:id="1055590482">
              <w:marLeft w:val="0"/>
              <w:marRight w:val="0"/>
              <w:marTop w:val="0"/>
              <w:marBottom w:val="0"/>
              <w:divBdr>
                <w:top w:val="none" w:sz="0" w:space="0" w:color="auto"/>
                <w:left w:val="none" w:sz="0" w:space="0" w:color="auto"/>
                <w:bottom w:val="none" w:sz="0" w:space="0" w:color="auto"/>
                <w:right w:val="none" w:sz="0" w:space="0" w:color="auto"/>
              </w:divBdr>
            </w:div>
            <w:div w:id="1222862006">
              <w:marLeft w:val="0"/>
              <w:marRight w:val="0"/>
              <w:marTop w:val="0"/>
              <w:marBottom w:val="0"/>
              <w:divBdr>
                <w:top w:val="none" w:sz="0" w:space="0" w:color="auto"/>
                <w:left w:val="none" w:sz="0" w:space="0" w:color="auto"/>
                <w:bottom w:val="none" w:sz="0" w:space="0" w:color="auto"/>
                <w:right w:val="none" w:sz="0" w:space="0" w:color="auto"/>
              </w:divBdr>
            </w:div>
            <w:div w:id="1057124212">
              <w:marLeft w:val="0"/>
              <w:marRight w:val="0"/>
              <w:marTop w:val="0"/>
              <w:marBottom w:val="0"/>
              <w:divBdr>
                <w:top w:val="none" w:sz="0" w:space="0" w:color="auto"/>
                <w:left w:val="none" w:sz="0" w:space="0" w:color="auto"/>
                <w:bottom w:val="none" w:sz="0" w:space="0" w:color="auto"/>
                <w:right w:val="none" w:sz="0" w:space="0" w:color="auto"/>
              </w:divBdr>
            </w:div>
            <w:div w:id="1461537353">
              <w:marLeft w:val="0"/>
              <w:marRight w:val="0"/>
              <w:marTop w:val="0"/>
              <w:marBottom w:val="0"/>
              <w:divBdr>
                <w:top w:val="none" w:sz="0" w:space="0" w:color="auto"/>
                <w:left w:val="none" w:sz="0" w:space="0" w:color="auto"/>
                <w:bottom w:val="none" w:sz="0" w:space="0" w:color="auto"/>
                <w:right w:val="none" w:sz="0" w:space="0" w:color="auto"/>
              </w:divBdr>
            </w:div>
            <w:div w:id="1975671048">
              <w:marLeft w:val="0"/>
              <w:marRight w:val="0"/>
              <w:marTop w:val="0"/>
              <w:marBottom w:val="0"/>
              <w:divBdr>
                <w:top w:val="none" w:sz="0" w:space="0" w:color="auto"/>
                <w:left w:val="none" w:sz="0" w:space="0" w:color="auto"/>
                <w:bottom w:val="none" w:sz="0" w:space="0" w:color="auto"/>
                <w:right w:val="none" w:sz="0" w:space="0" w:color="auto"/>
              </w:divBdr>
            </w:div>
            <w:div w:id="515340053">
              <w:marLeft w:val="0"/>
              <w:marRight w:val="0"/>
              <w:marTop w:val="0"/>
              <w:marBottom w:val="0"/>
              <w:divBdr>
                <w:top w:val="none" w:sz="0" w:space="0" w:color="auto"/>
                <w:left w:val="none" w:sz="0" w:space="0" w:color="auto"/>
                <w:bottom w:val="none" w:sz="0" w:space="0" w:color="auto"/>
                <w:right w:val="none" w:sz="0" w:space="0" w:color="auto"/>
              </w:divBdr>
            </w:div>
            <w:div w:id="935589">
              <w:marLeft w:val="0"/>
              <w:marRight w:val="0"/>
              <w:marTop w:val="0"/>
              <w:marBottom w:val="0"/>
              <w:divBdr>
                <w:top w:val="none" w:sz="0" w:space="0" w:color="auto"/>
                <w:left w:val="none" w:sz="0" w:space="0" w:color="auto"/>
                <w:bottom w:val="none" w:sz="0" w:space="0" w:color="auto"/>
                <w:right w:val="none" w:sz="0" w:space="0" w:color="auto"/>
              </w:divBdr>
            </w:div>
            <w:div w:id="1069690115">
              <w:marLeft w:val="0"/>
              <w:marRight w:val="0"/>
              <w:marTop w:val="0"/>
              <w:marBottom w:val="0"/>
              <w:divBdr>
                <w:top w:val="none" w:sz="0" w:space="0" w:color="auto"/>
                <w:left w:val="none" w:sz="0" w:space="0" w:color="auto"/>
                <w:bottom w:val="none" w:sz="0" w:space="0" w:color="auto"/>
                <w:right w:val="none" w:sz="0" w:space="0" w:color="auto"/>
              </w:divBdr>
            </w:div>
            <w:div w:id="1655529343">
              <w:marLeft w:val="0"/>
              <w:marRight w:val="0"/>
              <w:marTop w:val="0"/>
              <w:marBottom w:val="0"/>
              <w:divBdr>
                <w:top w:val="none" w:sz="0" w:space="0" w:color="auto"/>
                <w:left w:val="none" w:sz="0" w:space="0" w:color="auto"/>
                <w:bottom w:val="none" w:sz="0" w:space="0" w:color="auto"/>
                <w:right w:val="none" w:sz="0" w:space="0" w:color="auto"/>
              </w:divBdr>
            </w:div>
            <w:div w:id="659429044">
              <w:marLeft w:val="0"/>
              <w:marRight w:val="0"/>
              <w:marTop w:val="0"/>
              <w:marBottom w:val="0"/>
              <w:divBdr>
                <w:top w:val="none" w:sz="0" w:space="0" w:color="auto"/>
                <w:left w:val="none" w:sz="0" w:space="0" w:color="auto"/>
                <w:bottom w:val="none" w:sz="0" w:space="0" w:color="auto"/>
                <w:right w:val="none" w:sz="0" w:space="0" w:color="auto"/>
              </w:divBdr>
            </w:div>
            <w:div w:id="83690704">
              <w:marLeft w:val="0"/>
              <w:marRight w:val="0"/>
              <w:marTop w:val="0"/>
              <w:marBottom w:val="0"/>
              <w:divBdr>
                <w:top w:val="none" w:sz="0" w:space="0" w:color="auto"/>
                <w:left w:val="none" w:sz="0" w:space="0" w:color="auto"/>
                <w:bottom w:val="none" w:sz="0" w:space="0" w:color="auto"/>
                <w:right w:val="none" w:sz="0" w:space="0" w:color="auto"/>
              </w:divBdr>
            </w:div>
            <w:div w:id="521633208">
              <w:marLeft w:val="0"/>
              <w:marRight w:val="0"/>
              <w:marTop w:val="0"/>
              <w:marBottom w:val="0"/>
              <w:divBdr>
                <w:top w:val="none" w:sz="0" w:space="0" w:color="auto"/>
                <w:left w:val="none" w:sz="0" w:space="0" w:color="auto"/>
                <w:bottom w:val="none" w:sz="0" w:space="0" w:color="auto"/>
                <w:right w:val="none" w:sz="0" w:space="0" w:color="auto"/>
              </w:divBdr>
            </w:div>
            <w:div w:id="745881612">
              <w:marLeft w:val="0"/>
              <w:marRight w:val="0"/>
              <w:marTop w:val="0"/>
              <w:marBottom w:val="0"/>
              <w:divBdr>
                <w:top w:val="none" w:sz="0" w:space="0" w:color="auto"/>
                <w:left w:val="none" w:sz="0" w:space="0" w:color="auto"/>
                <w:bottom w:val="none" w:sz="0" w:space="0" w:color="auto"/>
                <w:right w:val="none" w:sz="0" w:space="0" w:color="auto"/>
              </w:divBdr>
            </w:div>
            <w:div w:id="681669294">
              <w:marLeft w:val="0"/>
              <w:marRight w:val="0"/>
              <w:marTop w:val="0"/>
              <w:marBottom w:val="0"/>
              <w:divBdr>
                <w:top w:val="none" w:sz="0" w:space="0" w:color="auto"/>
                <w:left w:val="none" w:sz="0" w:space="0" w:color="auto"/>
                <w:bottom w:val="none" w:sz="0" w:space="0" w:color="auto"/>
                <w:right w:val="none" w:sz="0" w:space="0" w:color="auto"/>
              </w:divBdr>
            </w:div>
            <w:div w:id="475530529">
              <w:marLeft w:val="0"/>
              <w:marRight w:val="0"/>
              <w:marTop w:val="0"/>
              <w:marBottom w:val="0"/>
              <w:divBdr>
                <w:top w:val="none" w:sz="0" w:space="0" w:color="auto"/>
                <w:left w:val="none" w:sz="0" w:space="0" w:color="auto"/>
                <w:bottom w:val="none" w:sz="0" w:space="0" w:color="auto"/>
                <w:right w:val="none" w:sz="0" w:space="0" w:color="auto"/>
              </w:divBdr>
            </w:div>
            <w:div w:id="1055156087">
              <w:marLeft w:val="0"/>
              <w:marRight w:val="0"/>
              <w:marTop w:val="0"/>
              <w:marBottom w:val="0"/>
              <w:divBdr>
                <w:top w:val="none" w:sz="0" w:space="0" w:color="auto"/>
                <w:left w:val="none" w:sz="0" w:space="0" w:color="auto"/>
                <w:bottom w:val="none" w:sz="0" w:space="0" w:color="auto"/>
                <w:right w:val="none" w:sz="0" w:space="0" w:color="auto"/>
              </w:divBdr>
            </w:div>
            <w:div w:id="1585068273">
              <w:marLeft w:val="0"/>
              <w:marRight w:val="0"/>
              <w:marTop w:val="0"/>
              <w:marBottom w:val="0"/>
              <w:divBdr>
                <w:top w:val="none" w:sz="0" w:space="0" w:color="auto"/>
                <w:left w:val="none" w:sz="0" w:space="0" w:color="auto"/>
                <w:bottom w:val="none" w:sz="0" w:space="0" w:color="auto"/>
                <w:right w:val="none" w:sz="0" w:space="0" w:color="auto"/>
              </w:divBdr>
            </w:div>
            <w:div w:id="267859714">
              <w:marLeft w:val="0"/>
              <w:marRight w:val="0"/>
              <w:marTop w:val="0"/>
              <w:marBottom w:val="0"/>
              <w:divBdr>
                <w:top w:val="none" w:sz="0" w:space="0" w:color="auto"/>
                <w:left w:val="none" w:sz="0" w:space="0" w:color="auto"/>
                <w:bottom w:val="none" w:sz="0" w:space="0" w:color="auto"/>
                <w:right w:val="none" w:sz="0" w:space="0" w:color="auto"/>
              </w:divBdr>
            </w:div>
            <w:div w:id="1914701772">
              <w:marLeft w:val="0"/>
              <w:marRight w:val="0"/>
              <w:marTop w:val="0"/>
              <w:marBottom w:val="0"/>
              <w:divBdr>
                <w:top w:val="none" w:sz="0" w:space="0" w:color="auto"/>
                <w:left w:val="none" w:sz="0" w:space="0" w:color="auto"/>
                <w:bottom w:val="none" w:sz="0" w:space="0" w:color="auto"/>
                <w:right w:val="none" w:sz="0" w:space="0" w:color="auto"/>
              </w:divBdr>
            </w:div>
            <w:div w:id="666980878">
              <w:marLeft w:val="0"/>
              <w:marRight w:val="0"/>
              <w:marTop w:val="0"/>
              <w:marBottom w:val="0"/>
              <w:divBdr>
                <w:top w:val="none" w:sz="0" w:space="0" w:color="auto"/>
                <w:left w:val="none" w:sz="0" w:space="0" w:color="auto"/>
                <w:bottom w:val="none" w:sz="0" w:space="0" w:color="auto"/>
                <w:right w:val="none" w:sz="0" w:space="0" w:color="auto"/>
              </w:divBdr>
            </w:div>
            <w:div w:id="2025083170">
              <w:marLeft w:val="0"/>
              <w:marRight w:val="0"/>
              <w:marTop w:val="0"/>
              <w:marBottom w:val="0"/>
              <w:divBdr>
                <w:top w:val="none" w:sz="0" w:space="0" w:color="auto"/>
                <w:left w:val="none" w:sz="0" w:space="0" w:color="auto"/>
                <w:bottom w:val="none" w:sz="0" w:space="0" w:color="auto"/>
                <w:right w:val="none" w:sz="0" w:space="0" w:color="auto"/>
              </w:divBdr>
            </w:div>
            <w:div w:id="589629267">
              <w:marLeft w:val="0"/>
              <w:marRight w:val="0"/>
              <w:marTop w:val="0"/>
              <w:marBottom w:val="0"/>
              <w:divBdr>
                <w:top w:val="none" w:sz="0" w:space="0" w:color="auto"/>
                <w:left w:val="none" w:sz="0" w:space="0" w:color="auto"/>
                <w:bottom w:val="none" w:sz="0" w:space="0" w:color="auto"/>
                <w:right w:val="none" w:sz="0" w:space="0" w:color="auto"/>
              </w:divBdr>
            </w:div>
            <w:div w:id="1929265404">
              <w:marLeft w:val="0"/>
              <w:marRight w:val="0"/>
              <w:marTop w:val="0"/>
              <w:marBottom w:val="0"/>
              <w:divBdr>
                <w:top w:val="none" w:sz="0" w:space="0" w:color="auto"/>
                <w:left w:val="none" w:sz="0" w:space="0" w:color="auto"/>
                <w:bottom w:val="none" w:sz="0" w:space="0" w:color="auto"/>
                <w:right w:val="none" w:sz="0" w:space="0" w:color="auto"/>
              </w:divBdr>
            </w:div>
            <w:div w:id="204679582">
              <w:marLeft w:val="0"/>
              <w:marRight w:val="0"/>
              <w:marTop w:val="0"/>
              <w:marBottom w:val="0"/>
              <w:divBdr>
                <w:top w:val="none" w:sz="0" w:space="0" w:color="auto"/>
                <w:left w:val="none" w:sz="0" w:space="0" w:color="auto"/>
                <w:bottom w:val="none" w:sz="0" w:space="0" w:color="auto"/>
                <w:right w:val="none" w:sz="0" w:space="0" w:color="auto"/>
              </w:divBdr>
            </w:div>
            <w:div w:id="710495315">
              <w:marLeft w:val="0"/>
              <w:marRight w:val="0"/>
              <w:marTop w:val="0"/>
              <w:marBottom w:val="0"/>
              <w:divBdr>
                <w:top w:val="none" w:sz="0" w:space="0" w:color="auto"/>
                <w:left w:val="none" w:sz="0" w:space="0" w:color="auto"/>
                <w:bottom w:val="none" w:sz="0" w:space="0" w:color="auto"/>
                <w:right w:val="none" w:sz="0" w:space="0" w:color="auto"/>
              </w:divBdr>
            </w:div>
            <w:div w:id="774207275">
              <w:marLeft w:val="0"/>
              <w:marRight w:val="0"/>
              <w:marTop w:val="0"/>
              <w:marBottom w:val="0"/>
              <w:divBdr>
                <w:top w:val="none" w:sz="0" w:space="0" w:color="auto"/>
                <w:left w:val="none" w:sz="0" w:space="0" w:color="auto"/>
                <w:bottom w:val="none" w:sz="0" w:space="0" w:color="auto"/>
                <w:right w:val="none" w:sz="0" w:space="0" w:color="auto"/>
              </w:divBdr>
            </w:div>
            <w:div w:id="1407723399">
              <w:marLeft w:val="0"/>
              <w:marRight w:val="0"/>
              <w:marTop w:val="0"/>
              <w:marBottom w:val="0"/>
              <w:divBdr>
                <w:top w:val="none" w:sz="0" w:space="0" w:color="auto"/>
                <w:left w:val="none" w:sz="0" w:space="0" w:color="auto"/>
                <w:bottom w:val="none" w:sz="0" w:space="0" w:color="auto"/>
                <w:right w:val="none" w:sz="0" w:space="0" w:color="auto"/>
              </w:divBdr>
            </w:div>
            <w:div w:id="52044195">
              <w:marLeft w:val="0"/>
              <w:marRight w:val="0"/>
              <w:marTop w:val="0"/>
              <w:marBottom w:val="0"/>
              <w:divBdr>
                <w:top w:val="none" w:sz="0" w:space="0" w:color="auto"/>
                <w:left w:val="none" w:sz="0" w:space="0" w:color="auto"/>
                <w:bottom w:val="none" w:sz="0" w:space="0" w:color="auto"/>
                <w:right w:val="none" w:sz="0" w:space="0" w:color="auto"/>
              </w:divBdr>
            </w:div>
            <w:div w:id="4746006">
              <w:marLeft w:val="0"/>
              <w:marRight w:val="0"/>
              <w:marTop w:val="0"/>
              <w:marBottom w:val="0"/>
              <w:divBdr>
                <w:top w:val="none" w:sz="0" w:space="0" w:color="auto"/>
                <w:left w:val="none" w:sz="0" w:space="0" w:color="auto"/>
                <w:bottom w:val="none" w:sz="0" w:space="0" w:color="auto"/>
                <w:right w:val="none" w:sz="0" w:space="0" w:color="auto"/>
              </w:divBdr>
            </w:div>
            <w:div w:id="1453868064">
              <w:marLeft w:val="0"/>
              <w:marRight w:val="0"/>
              <w:marTop w:val="0"/>
              <w:marBottom w:val="0"/>
              <w:divBdr>
                <w:top w:val="none" w:sz="0" w:space="0" w:color="auto"/>
                <w:left w:val="none" w:sz="0" w:space="0" w:color="auto"/>
                <w:bottom w:val="none" w:sz="0" w:space="0" w:color="auto"/>
                <w:right w:val="none" w:sz="0" w:space="0" w:color="auto"/>
              </w:divBdr>
            </w:div>
            <w:div w:id="267281201">
              <w:marLeft w:val="0"/>
              <w:marRight w:val="0"/>
              <w:marTop w:val="0"/>
              <w:marBottom w:val="0"/>
              <w:divBdr>
                <w:top w:val="none" w:sz="0" w:space="0" w:color="auto"/>
                <w:left w:val="none" w:sz="0" w:space="0" w:color="auto"/>
                <w:bottom w:val="none" w:sz="0" w:space="0" w:color="auto"/>
                <w:right w:val="none" w:sz="0" w:space="0" w:color="auto"/>
              </w:divBdr>
            </w:div>
            <w:div w:id="2117402928">
              <w:marLeft w:val="0"/>
              <w:marRight w:val="0"/>
              <w:marTop w:val="0"/>
              <w:marBottom w:val="0"/>
              <w:divBdr>
                <w:top w:val="none" w:sz="0" w:space="0" w:color="auto"/>
                <w:left w:val="none" w:sz="0" w:space="0" w:color="auto"/>
                <w:bottom w:val="none" w:sz="0" w:space="0" w:color="auto"/>
                <w:right w:val="none" w:sz="0" w:space="0" w:color="auto"/>
              </w:divBdr>
            </w:div>
            <w:div w:id="513888204">
              <w:marLeft w:val="0"/>
              <w:marRight w:val="0"/>
              <w:marTop w:val="0"/>
              <w:marBottom w:val="0"/>
              <w:divBdr>
                <w:top w:val="none" w:sz="0" w:space="0" w:color="auto"/>
                <w:left w:val="none" w:sz="0" w:space="0" w:color="auto"/>
                <w:bottom w:val="none" w:sz="0" w:space="0" w:color="auto"/>
                <w:right w:val="none" w:sz="0" w:space="0" w:color="auto"/>
              </w:divBdr>
            </w:div>
            <w:div w:id="1483696855">
              <w:marLeft w:val="0"/>
              <w:marRight w:val="0"/>
              <w:marTop w:val="0"/>
              <w:marBottom w:val="0"/>
              <w:divBdr>
                <w:top w:val="none" w:sz="0" w:space="0" w:color="auto"/>
                <w:left w:val="none" w:sz="0" w:space="0" w:color="auto"/>
                <w:bottom w:val="none" w:sz="0" w:space="0" w:color="auto"/>
                <w:right w:val="none" w:sz="0" w:space="0" w:color="auto"/>
              </w:divBdr>
            </w:div>
            <w:div w:id="1614480393">
              <w:marLeft w:val="0"/>
              <w:marRight w:val="0"/>
              <w:marTop w:val="0"/>
              <w:marBottom w:val="0"/>
              <w:divBdr>
                <w:top w:val="none" w:sz="0" w:space="0" w:color="auto"/>
                <w:left w:val="none" w:sz="0" w:space="0" w:color="auto"/>
                <w:bottom w:val="none" w:sz="0" w:space="0" w:color="auto"/>
                <w:right w:val="none" w:sz="0" w:space="0" w:color="auto"/>
              </w:divBdr>
            </w:div>
            <w:div w:id="1227034445">
              <w:marLeft w:val="0"/>
              <w:marRight w:val="0"/>
              <w:marTop w:val="0"/>
              <w:marBottom w:val="0"/>
              <w:divBdr>
                <w:top w:val="none" w:sz="0" w:space="0" w:color="auto"/>
                <w:left w:val="none" w:sz="0" w:space="0" w:color="auto"/>
                <w:bottom w:val="none" w:sz="0" w:space="0" w:color="auto"/>
                <w:right w:val="none" w:sz="0" w:space="0" w:color="auto"/>
              </w:divBdr>
            </w:div>
            <w:div w:id="2019429904">
              <w:marLeft w:val="0"/>
              <w:marRight w:val="0"/>
              <w:marTop w:val="0"/>
              <w:marBottom w:val="0"/>
              <w:divBdr>
                <w:top w:val="none" w:sz="0" w:space="0" w:color="auto"/>
                <w:left w:val="none" w:sz="0" w:space="0" w:color="auto"/>
                <w:bottom w:val="none" w:sz="0" w:space="0" w:color="auto"/>
                <w:right w:val="none" w:sz="0" w:space="0" w:color="auto"/>
              </w:divBdr>
            </w:div>
            <w:div w:id="290744760">
              <w:marLeft w:val="0"/>
              <w:marRight w:val="0"/>
              <w:marTop w:val="0"/>
              <w:marBottom w:val="0"/>
              <w:divBdr>
                <w:top w:val="none" w:sz="0" w:space="0" w:color="auto"/>
                <w:left w:val="none" w:sz="0" w:space="0" w:color="auto"/>
                <w:bottom w:val="none" w:sz="0" w:space="0" w:color="auto"/>
                <w:right w:val="none" w:sz="0" w:space="0" w:color="auto"/>
              </w:divBdr>
            </w:div>
            <w:div w:id="1613633118">
              <w:marLeft w:val="0"/>
              <w:marRight w:val="0"/>
              <w:marTop w:val="0"/>
              <w:marBottom w:val="0"/>
              <w:divBdr>
                <w:top w:val="none" w:sz="0" w:space="0" w:color="auto"/>
                <w:left w:val="none" w:sz="0" w:space="0" w:color="auto"/>
                <w:bottom w:val="none" w:sz="0" w:space="0" w:color="auto"/>
                <w:right w:val="none" w:sz="0" w:space="0" w:color="auto"/>
              </w:divBdr>
            </w:div>
            <w:div w:id="338822175">
              <w:marLeft w:val="0"/>
              <w:marRight w:val="0"/>
              <w:marTop w:val="0"/>
              <w:marBottom w:val="0"/>
              <w:divBdr>
                <w:top w:val="none" w:sz="0" w:space="0" w:color="auto"/>
                <w:left w:val="none" w:sz="0" w:space="0" w:color="auto"/>
                <w:bottom w:val="none" w:sz="0" w:space="0" w:color="auto"/>
                <w:right w:val="none" w:sz="0" w:space="0" w:color="auto"/>
              </w:divBdr>
            </w:div>
            <w:div w:id="664016446">
              <w:marLeft w:val="0"/>
              <w:marRight w:val="0"/>
              <w:marTop w:val="0"/>
              <w:marBottom w:val="0"/>
              <w:divBdr>
                <w:top w:val="none" w:sz="0" w:space="0" w:color="auto"/>
                <w:left w:val="none" w:sz="0" w:space="0" w:color="auto"/>
                <w:bottom w:val="none" w:sz="0" w:space="0" w:color="auto"/>
                <w:right w:val="none" w:sz="0" w:space="0" w:color="auto"/>
              </w:divBdr>
            </w:div>
            <w:div w:id="1386568334">
              <w:marLeft w:val="0"/>
              <w:marRight w:val="0"/>
              <w:marTop w:val="0"/>
              <w:marBottom w:val="0"/>
              <w:divBdr>
                <w:top w:val="none" w:sz="0" w:space="0" w:color="auto"/>
                <w:left w:val="none" w:sz="0" w:space="0" w:color="auto"/>
                <w:bottom w:val="none" w:sz="0" w:space="0" w:color="auto"/>
                <w:right w:val="none" w:sz="0" w:space="0" w:color="auto"/>
              </w:divBdr>
            </w:div>
            <w:div w:id="279804911">
              <w:marLeft w:val="0"/>
              <w:marRight w:val="0"/>
              <w:marTop w:val="0"/>
              <w:marBottom w:val="0"/>
              <w:divBdr>
                <w:top w:val="none" w:sz="0" w:space="0" w:color="auto"/>
                <w:left w:val="none" w:sz="0" w:space="0" w:color="auto"/>
                <w:bottom w:val="none" w:sz="0" w:space="0" w:color="auto"/>
                <w:right w:val="none" w:sz="0" w:space="0" w:color="auto"/>
              </w:divBdr>
            </w:div>
            <w:div w:id="708839187">
              <w:marLeft w:val="0"/>
              <w:marRight w:val="0"/>
              <w:marTop w:val="0"/>
              <w:marBottom w:val="0"/>
              <w:divBdr>
                <w:top w:val="none" w:sz="0" w:space="0" w:color="auto"/>
                <w:left w:val="none" w:sz="0" w:space="0" w:color="auto"/>
                <w:bottom w:val="none" w:sz="0" w:space="0" w:color="auto"/>
                <w:right w:val="none" w:sz="0" w:space="0" w:color="auto"/>
              </w:divBdr>
            </w:div>
            <w:div w:id="1647856177">
              <w:marLeft w:val="0"/>
              <w:marRight w:val="0"/>
              <w:marTop w:val="0"/>
              <w:marBottom w:val="0"/>
              <w:divBdr>
                <w:top w:val="none" w:sz="0" w:space="0" w:color="auto"/>
                <w:left w:val="none" w:sz="0" w:space="0" w:color="auto"/>
                <w:bottom w:val="none" w:sz="0" w:space="0" w:color="auto"/>
                <w:right w:val="none" w:sz="0" w:space="0" w:color="auto"/>
              </w:divBdr>
            </w:div>
            <w:div w:id="1400396802">
              <w:marLeft w:val="0"/>
              <w:marRight w:val="0"/>
              <w:marTop w:val="0"/>
              <w:marBottom w:val="0"/>
              <w:divBdr>
                <w:top w:val="none" w:sz="0" w:space="0" w:color="auto"/>
                <w:left w:val="none" w:sz="0" w:space="0" w:color="auto"/>
                <w:bottom w:val="none" w:sz="0" w:space="0" w:color="auto"/>
                <w:right w:val="none" w:sz="0" w:space="0" w:color="auto"/>
              </w:divBdr>
            </w:div>
            <w:div w:id="1485392455">
              <w:marLeft w:val="0"/>
              <w:marRight w:val="0"/>
              <w:marTop w:val="0"/>
              <w:marBottom w:val="0"/>
              <w:divBdr>
                <w:top w:val="none" w:sz="0" w:space="0" w:color="auto"/>
                <w:left w:val="none" w:sz="0" w:space="0" w:color="auto"/>
                <w:bottom w:val="none" w:sz="0" w:space="0" w:color="auto"/>
                <w:right w:val="none" w:sz="0" w:space="0" w:color="auto"/>
              </w:divBdr>
            </w:div>
            <w:div w:id="448354880">
              <w:marLeft w:val="0"/>
              <w:marRight w:val="0"/>
              <w:marTop w:val="0"/>
              <w:marBottom w:val="0"/>
              <w:divBdr>
                <w:top w:val="none" w:sz="0" w:space="0" w:color="auto"/>
                <w:left w:val="none" w:sz="0" w:space="0" w:color="auto"/>
                <w:bottom w:val="none" w:sz="0" w:space="0" w:color="auto"/>
                <w:right w:val="none" w:sz="0" w:space="0" w:color="auto"/>
              </w:divBdr>
            </w:div>
            <w:div w:id="1504510264">
              <w:marLeft w:val="0"/>
              <w:marRight w:val="0"/>
              <w:marTop w:val="0"/>
              <w:marBottom w:val="0"/>
              <w:divBdr>
                <w:top w:val="none" w:sz="0" w:space="0" w:color="auto"/>
                <w:left w:val="none" w:sz="0" w:space="0" w:color="auto"/>
                <w:bottom w:val="none" w:sz="0" w:space="0" w:color="auto"/>
                <w:right w:val="none" w:sz="0" w:space="0" w:color="auto"/>
              </w:divBdr>
            </w:div>
            <w:div w:id="1428498797">
              <w:marLeft w:val="0"/>
              <w:marRight w:val="0"/>
              <w:marTop w:val="0"/>
              <w:marBottom w:val="0"/>
              <w:divBdr>
                <w:top w:val="none" w:sz="0" w:space="0" w:color="auto"/>
                <w:left w:val="none" w:sz="0" w:space="0" w:color="auto"/>
                <w:bottom w:val="none" w:sz="0" w:space="0" w:color="auto"/>
                <w:right w:val="none" w:sz="0" w:space="0" w:color="auto"/>
              </w:divBdr>
            </w:div>
            <w:div w:id="1056275653">
              <w:marLeft w:val="0"/>
              <w:marRight w:val="0"/>
              <w:marTop w:val="0"/>
              <w:marBottom w:val="0"/>
              <w:divBdr>
                <w:top w:val="none" w:sz="0" w:space="0" w:color="auto"/>
                <w:left w:val="none" w:sz="0" w:space="0" w:color="auto"/>
                <w:bottom w:val="none" w:sz="0" w:space="0" w:color="auto"/>
                <w:right w:val="none" w:sz="0" w:space="0" w:color="auto"/>
              </w:divBdr>
            </w:div>
            <w:div w:id="1242638146">
              <w:marLeft w:val="0"/>
              <w:marRight w:val="0"/>
              <w:marTop w:val="0"/>
              <w:marBottom w:val="0"/>
              <w:divBdr>
                <w:top w:val="none" w:sz="0" w:space="0" w:color="auto"/>
                <w:left w:val="none" w:sz="0" w:space="0" w:color="auto"/>
                <w:bottom w:val="none" w:sz="0" w:space="0" w:color="auto"/>
                <w:right w:val="none" w:sz="0" w:space="0" w:color="auto"/>
              </w:divBdr>
            </w:div>
            <w:div w:id="855265118">
              <w:marLeft w:val="0"/>
              <w:marRight w:val="0"/>
              <w:marTop w:val="0"/>
              <w:marBottom w:val="0"/>
              <w:divBdr>
                <w:top w:val="none" w:sz="0" w:space="0" w:color="auto"/>
                <w:left w:val="none" w:sz="0" w:space="0" w:color="auto"/>
                <w:bottom w:val="none" w:sz="0" w:space="0" w:color="auto"/>
                <w:right w:val="none" w:sz="0" w:space="0" w:color="auto"/>
              </w:divBdr>
            </w:div>
            <w:div w:id="1588030208">
              <w:marLeft w:val="0"/>
              <w:marRight w:val="0"/>
              <w:marTop w:val="0"/>
              <w:marBottom w:val="0"/>
              <w:divBdr>
                <w:top w:val="none" w:sz="0" w:space="0" w:color="auto"/>
                <w:left w:val="none" w:sz="0" w:space="0" w:color="auto"/>
                <w:bottom w:val="none" w:sz="0" w:space="0" w:color="auto"/>
                <w:right w:val="none" w:sz="0" w:space="0" w:color="auto"/>
              </w:divBdr>
            </w:div>
            <w:div w:id="2088725285">
              <w:marLeft w:val="0"/>
              <w:marRight w:val="0"/>
              <w:marTop w:val="0"/>
              <w:marBottom w:val="0"/>
              <w:divBdr>
                <w:top w:val="none" w:sz="0" w:space="0" w:color="auto"/>
                <w:left w:val="none" w:sz="0" w:space="0" w:color="auto"/>
                <w:bottom w:val="none" w:sz="0" w:space="0" w:color="auto"/>
                <w:right w:val="none" w:sz="0" w:space="0" w:color="auto"/>
              </w:divBdr>
            </w:div>
            <w:div w:id="296302780">
              <w:marLeft w:val="0"/>
              <w:marRight w:val="0"/>
              <w:marTop w:val="0"/>
              <w:marBottom w:val="0"/>
              <w:divBdr>
                <w:top w:val="none" w:sz="0" w:space="0" w:color="auto"/>
                <w:left w:val="none" w:sz="0" w:space="0" w:color="auto"/>
                <w:bottom w:val="none" w:sz="0" w:space="0" w:color="auto"/>
                <w:right w:val="none" w:sz="0" w:space="0" w:color="auto"/>
              </w:divBdr>
            </w:div>
            <w:div w:id="731849427">
              <w:marLeft w:val="0"/>
              <w:marRight w:val="0"/>
              <w:marTop w:val="0"/>
              <w:marBottom w:val="0"/>
              <w:divBdr>
                <w:top w:val="none" w:sz="0" w:space="0" w:color="auto"/>
                <w:left w:val="none" w:sz="0" w:space="0" w:color="auto"/>
                <w:bottom w:val="none" w:sz="0" w:space="0" w:color="auto"/>
                <w:right w:val="none" w:sz="0" w:space="0" w:color="auto"/>
              </w:divBdr>
            </w:div>
            <w:div w:id="469058085">
              <w:marLeft w:val="0"/>
              <w:marRight w:val="0"/>
              <w:marTop w:val="0"/>
              <w:marBottom w:val="0"/>
              <w:divBdr>
                <w:top w:val="none" w:sz="0" w:space="0" w:color="auto"/>
                <w:left w:val="none" w:sz="0" w:space="0" w:color="auto"/>
                <w:bottom w:val="none" w:sz="0" w:space="0" w:color="auto"/>
                <w:right w:val="none" w:sz="0" w:space="0" w:color="auto"/>
              </w:divBdr>
            </w:div>
            <w:div w:id="848183834">
              <w:marLeft w:val="0"/>
              <w:marRight w:val="0"/>
              <w:marTop w:val="0"/>
              <w:marBottom w:val="0"/>
              <w:divBdr>
                <w:top w:val="none" w:sz="0" w:space="0" w:color="auto"/>
                <w:left w:val="none" w:sz="0" w:space="0" w:color="auto"/>
                <w:bottom w:val="none" w:sz="0" w:space="0" w:color="auto"/>
                <w:right w:val="none" w:sz="0" w:space="0" w:color="auto"/>
              </w:divBdr>
            </w:div>
            <w:div w:id="120077164">
              <w:marLeft w:val="0"/>
              <w:marRight w:val="0"/>
              <w:marTop w:val="0"/>
              <w:marBottom w:val="0"/>
              <w:divBdr>
                <w:top w:val="none" w:sz="0" w:space="0" w:color="auto"/>
                <w:left w:val="none" w:sz="0" w:space="0" w:color="auto"/>
                <w:bottom w:val="none" w:sz="0" w:space="0" w:color="auto"/>
                <w:right w:val="none" w:sz="0" w:space="0" w:color="auto"/>
              </w:divBdr>
            </w:div>
            <w:div w:id="645429839">
              <w:marLeft w:val="0"/>
              <w:marRight w:val="0"/>
              <w:marTop w:val="0"/>
              <w:marBottom w:val="0"/>
              <w:divBdr>
                <w:top w:val="none" w:sz="0" w:space="0" w:color="auto"/>
                <w:left w:val="none" w:sz="0" w:space="0" w:color="auto"/>
                <w:bottom w:val="none" w:sz="0" w:space="0" w:color="auto"/>
                <w:right w:val="none" w:sz="0" w:space="0" w:color="auto"/>
              </w:divBdr>
            </w:div>
            <w:div w:id="1382827880">
              <w:marLeft w:val="0"/>
              <w:marRight w:val="0"/>
              <w:marTop w:val="0"/>
              <w:marBottom w:val="0"/>
              <w:divBdr>
                <w:top w:val="none" w:sz="0" w:space="0" w:color="auto"/>
                <w:left w:val="none" w:sz="0" w:space="0" w:color="auto"/>
                <w:bottom w:val="none" w:sz="0" w:space="0" w:color="auto"/>
                <w:right w:val="none" w:sz="0" w:space="0" w:color="auto"/>
              </w:divBdr>
            </w:div>
            <w:div w:id="1980646126">
              <w:marLeft w:val="0"/>
              <w:marRight w:val="0"/>
              <w:marTop w:val="0"/>
              <w:marBottom w:val="0"/>
              <w:divBdr>
                <w:top w:val="none" w:sz="0" w:space="0" w:color="auto"/>
                <w:left w:val="none" w:sz="0" w:space="0" w:color="auto"/>
                <w:bottom w:val="none" w:sz="0" w:space="0" w:color="auto"/>
                <w:right w:val="none" w:sz="0" w:space="0" w:color="auto"/>
              </w:divBdr>
            </w:div>
            <w:div w:id="1251964282">
              <w:marLeft w:val="0"/>
              <w:marRight w:val="0"/>
              <w:marTop w:val="0"/>
              <w:marBottom w:val="0"/>
              <w:divBdr>
                <w:top w:val="none" w:sz="0" w:space="0" w:color="auto"/>
                <w:left w:val="none" w:sz="0" w:space="0" w:color="auto"/>
                <w:bottom w:val="none" w:sz="0" w:space="0" w:color="auto"/>
                <w:right w:val="none" w:sz="0" w:space="0" w:color="auto"/>
              </w:divBdr>
            </w:div>
            <w:div w:id="1672751903">
              <w:marLeft w:val="0"/>
              <w:marRight w:val="0"/>
              <w:marTop w:val="0"/>
              <w:marBottom w:val="0"/>
              <w:divBdr>
                <w:top w:val="none" w:sz="0" w:space="0" w:color="auto"/>
                <w:left w:val="none" w:sz="0" w:space="0" w:color="auto"/>
                <w:bottom w:val="none" w:sz="0" w:space="0" w:color="auto"/>
                <w:right w:val="none" w:sz="0" w:space="0" w:color="auto"/>
              </w:divBdr>
            </w:div>
            <w:div w:id="14915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2983">
      <w:bodyDiv w:val="1"/>
      <w:marLeft w:val="0"/>
      <w:marRight w:val="0"/>
      <w:marTop w:val="0"/>
      <w:marBottom w:val="0"/>
      <w:divBdr>
        <w:top w:val="none" w:sz="0" w:space="0" w:color="auto"/>
        <w:left w:val="none" w:sz="0" w:space="0" w:color="auto"/>
        <w:bottom w:val="none" w:sz="0" w:space="0" w:color="auto"/>
        <w:right w:val="none" w:sz="0" w:space="0" w:color="auto"/>
      </w:divBdr>
    </w:div>
    <w:div w:id="1133403184">
      <w:bodyDiv w:val="1"/>
      <w:marLeft w:val="0"/>
      <w:marRight w:val="0"/>
      <w:marTop w:val="0"/>
      <w:marBottom w:val="0"/>
      <w:divBdr>
        <w:top w:val="none" w:sz="0" w:space="0" w:color="auto"/>
        <w:left w:val="none" w:sz="0" w:space="0" w:color="auto"/>
        <w:bottom w:val="none" w:sz="0" w:space="0" w:color="auto"/>
        <w:right w:val="none" w:sz="0" w:space="0" w:color="auto"/>
      </w:divBdr>
    </w:div>
    <w:div w:id="1147744345">
      <w:bodyDiv w:val="1"/>
      <w:marLeft w:val="0"/>
      <w:marRight w:val="0"/>
      <w:marTop w:val="0"/>
      <w:marBottom w:val="0"/>
      <w:divBdr>
        <w:top w:val="none" w:sz="0" w:space="0" w:color="auto"/>
        <w:left w:val="none" w:sz="0" w:space="0" w:color="auto"/>
        <w:bottom w:val="none" w:sz="0" w:space="0" w:color="auto"/>
        <w:right w:val="none" w:sz="0" w:space="0" w:color="auto"/>
      </w:divBdr>
    </w:div>
    <w:div w:id="1151017013">
      <w:bodyDiv w:val="1"/>
      <w:marLeft w:val="0"/>
      <w:marRight w:val="0"/>
      <w:marTop w:val="0"/>
      <w:marBottom w:val="0"/>
      <w:divBdr>
        <w:top w:val="none" w:sz="0" w:space="0" w:color="auto"/>
        <w:left w:val="none" w:sz="0" w:space="0" w:color="auto"/>
        <w:bottom w:val="none" w:sz="0" w:space="0" w:color="auto"/>
        <w:right w:val="none" w:sz="0" w:space="0" w:color="auto"/>
      </w:divBdr>
    </w:div>
    <w:div w:id="1160538715">
      <w:bodyDiv w:val="1"/>
      <w:marLeft w:val="0"/>
      <w:marRight w:val="0"/>
      <w:marTop w:val="0"/>
      <w:marBottom w:val="0"/>
      <w:divBdr>
        <w:top w:val="none" w:sz="0" w:space="0" w:color="auto"/>
        <w:left w:val="none" w:sz="0" w:space="0" w:color="auto"/>
        <w:bottom w:val="none" w:sz="0" w:space="0" w:color="auto"/>
        <w:right w:val="none" w:sz="0" w:space="0" w:color="auto"/>
      </w:divBdr>
    </w:div>
    <w:div w:id="1160929919">
      <w:bodyDiv w:val="1"/>
      <w:marLeft w:val="0"/>
      <w:marRight w:val="0"/>
      <w:marTop w:val="0"/>
      <w:marBottom w:val="0"/>
      <w:divBdr>
        <w:top w:val="none" w:sz="0" w:space="0" w:color="auto"/>
        <w:left w:val="none" w:sz="0" w:space="0" w:color="auto"/>
        <w:bottom w:val="none" w:sz="0" w:space="0" w:color="auto"/>
        <w:right w:val="none" w:sz="0" w:space="0" w:color="auto"/>
      </w:divBdr>
    </w:div>
    <w:div w:id="1176463139">
      <w:bodyDiv w:val="1"/>
      <w:marLeft w:val="0"/>
      <w:marRight w:val="0"/>
      <w:marTop w:val="0"/>
      <w:marBottom w:val="0"/>
      <w:divBdr>
        <w:top w:val="none" w:sz="0" w:space="0" w:color="auto"/>
        <w:left w:val="none" w:sz="0" w:space="0" w:color="auto"/>
        <w:bottom w:val="none" w:sz="0" w:space="0" w:color="auto"/>
        <w:right w:val="none" w:sz="0" w:space="0" w:color="auto"/>
      </w:divBdr>
    </w:div>
    <w:div w:id="1212763945">
      <w:bodyDiv w:val="1"/>
      <w:marLeft w:val="0"/>
      <w:marRight w:val="0"/>
      <w:marTop w:val="0"/>
      <w:marBottom w:val="0"/>
      <w:divBdr>
        <w:top w:val="none" w:sz="0" w:space="0" w:color="auto"/>
        <w:left w:val="none" w:sz="0" w:space="0" w:color="auto"/>
        <w:bottom w:val="none" w:sz="0" w:space="0" w:color="auto"/>
        <w:right w:val="none" w:sz="0" w:space="0" w:color="auto"/>
      </w:divBdr>
    </w:div>
    <w:div w:id="1226069927">
      <w:bodyDiv w:val="1"/>
      <w:marLeft w:val="0"/>
      <w:marRight w:val="0"/>
      <w:marTop w:val="0"/>
      <w:marBottom w:val="0"/>
      <w:divBdr>
        <w:top w:val="none" w:sz="0" w:space="0" w:color="auto"/>
        <w:left w:val="none" w:sz="0" w:space="0" w:color="auto"/>
        <w:bottom w:val="none" w:sz="0" w:space="0" w:color="auto"/>
        <w:right w:val="none" w:sz="0" w:space="0" w:color="auto"/>
      </w:divBdr>
    </w:div>
    <w:div w:id="1233540322">
      <w:bodyDiv w:val="1"/>
      <w:marLeft w:val="0"/>
      <w:marRight w:val="0"/>
      <w:marTop w:val="0"/>
      <w:marBottom w:val="0"/>
      <w:divBdr>
        <w:top w:val="none" w:sz="0" w:space="0" w:color="auto"/>
        <w:left w:val="none" w:sz="0" w:space="0" w:color="auto"/>
        <w:bottom w:val="none" w:sz="0" w:space="0" w:color="auto"/>
        <w:right w:val="none" w:sz="0" w:space="0" w:color="auto"/>
      </w:divBdr>
    </w:div>
    <w:div w:id="1266041721">
      <w:bodyDiv w:val="1"/>
      <w:marLeft w:val="0"/>
      <w:marRight w:val="0"/>
      <w:marTop w:val="0"/>
      <w:marBottom w:val="0"/>
      <w:divBdr>
        <w:top w:val="none" w:sz="0" w:space="0" w:color="auto"/>
        <w:left w:val="none" w:sz="0" w:space="0" w:color="auto"/>
        <w:bottom w:val="none" w:sz="0" w:space="0" w:color="auto"/>
        <w:right w:val="none" w:sz="0" w:space="0" w:color="auto"/>
      </w:divBdr>
    </w:div>
    <w:div w:id="1276056299">
      <w:bodyDiv w:val="1"/>
      <w:marLeft w:val="0"/>
      <w:marRight w:val="0"/>
      <w:marTop w:val="0"/>
      <w:marBottom w:val="0"/>
      <w:divBdr>
        <w:top w:val="none" w:sz="0" w:space="0" w:color="auto"/>
        <w:left w:val="none" w:sz="0" w:space="0" w:color="auto"/>
        <w:bottom w:val="none" w:sz="0" w:space="0" w:color="auto"/>
        <w:right w:val="none" w:sz="0" w:space="0" w:color="auto"/>
      </w:divBdr>
    </w:div>
    <w:div w:id="1317614354">
      <w:bodyDiv w:val="1"/>
      <w:marLeft w:val="0"/>
      <w:marRight w:val="0"/>
      <w:marTop w:val="0"/>
      <w:marBottom w:val="0"/>
      <w:divBdr>
        <w:top w:val="none" w:sz="0" w:space="0" w:color="auto"/>
        <w:left w:val="none" w:sz="0" w:space="0" w:color="auto"/>
        <w:bottom w:val="none" w:sz="0" w:space="0" w:color="auto"/>
        <w:right w:val="none" w:sz="0" w:space="0" w:color="auto"/>
      </w:divBdr>
      <w:divsChild>
        <w:div w:id="1769547670">
          <w:marLeft w:val="0"/>
          <w:marRight w:val="0"/>
          <w:marTop w:val="0"/>
          <w:marBottom w:val="0"/>
          <w:divBdr>
            <w:top w:val="none" w:sz="0" w:space="0" w:color="auto"/>
            <w:left w:val="none" w:sz="0" w:space="0" w:color="auto"/>
            <w:bottom w:val="none" w:sz="0" w:space="0" w:color="auto"/>
            <w:right w:val="none" w:sz="0" w:space="0" w:color="auto"/>
          </w:divBdr>
        </w:div>
        <w:div w:id="1157840912">
          <w:marLeft w:val="0"/>
          <w:marRight w:val="0"/>
          <w:marTop w:val="0"/>
          <w:marBottom w:val="0"/>
          <w:divBdr>
            <w:top w:val="none" w:sz="0" w:space="0" w:color="auto"/>
            <w:left w:val="none" w:sz="0" w:space="0" w:color="auto"/>
            <w:bottom w:val="none" w:sz="0" w:space="0" w:color="auto"/>
            <w:right w:val="none" w:sz="0" w:space="0" w:color="auto"/>
          </w:divBdr>
        </w:div>
        <w:div w:id="826290001">
          <w:marLeft w:val="0"/>
          <w:marRight w:val="0"/>
          <w:marTop w:val="0"/>
          <w:marBottom w:val="0"/>
          <w:divBdr>
            <w:top w:val="none" w:sz="0" w:space="0" w:color="auto"/>
            <w:left w:val="none" w:sz="0" w:space="0" w:color="auto"/>
            <w:bottom w:val="none" w:sz="0" w:space="0" w:color="auto"/>
            <w:right w:val="none" w:sz="0" w:space="0" w:color="auto"/>
          </w:divBdr>
        </w:div>
        <w:div w:id="1370686234">
          <w:marLeft w:val="0"/>
          <w:marRight w:val="0"/>
          <w:marTop w:val="0"/>
          <w:marBottom w:val="0"/>
          <w:divBdr>
            <w:top w:val="none" w:sz="0" w:space="0" w:color="auto"/>
            <w:left w:val="none" w:sz="0" w:space="0" w:color="auto"/>
            <w:bottom w:val="none" w:sz="0" w:space="0" w:color="auto"/>
            <w:right w:val="none" w:sz="0" w:space="0" w:color="auto"/>
          </w:divBdr>
        </w:div>
        <w:div w:id="349450228">
          <w:marLeft w:val="0"/>
          <w:marRight w:val="0"/>
          <w:marTop w:val="0"/>
          <w:marBottom w:val="0"/>
          <w:divBdr>
            <w:top w:val="none" w:sz="0" w:space="0" w:color="auto"/>
            <w:left w:val="none" w:sz="0" w:space="0" w:color="auto"/>
            <w:bottom w:val="none" w:sz="0" w:space="0" w:color="auto"/>
            <w:right w:val="none" w:sz="0" w:space="0" w:color="auto"/>
          </w:divBdr>
        </w:div>
        <w:div w:id="1169444363">
          <w:marLeft w:val="0"/>
          <w:marRight w:val="0"/>
          <w:marTop w:val="0"/>
          <w:marBottom w:val="0"/>
          <w:divBdr>
            <w:top w:val="none" w:sz="0" w:space="0" w:color="auto"/>
            <w:left w:val="none" w:sz="0" w:space="0" w:color="auto"/>
            <w:bottom w:val="none" w:sz="0" w:space="0" w:color="auto"/>
            <w:right w:val="none" w:sz="0" w:space="0" w:color="auto"/>
          </w:divBdr>
        </w:div>
        <w:div w:id="547228772">
          <w:marLeft w:val="0"/>
          <w:marRight w:val="0"/>
          <w:marTop w:val="0"/>
          <w:marBottom w:val="0"/>
          <w:divBdr>
            <w:top w:val="none" w:sz="0" w:space="0" w:color="auto"/>
            <w:left w:val="none" w:sz="0" w:space="0" w:color="auto"/>
            <w:bottom w:val="none" w:sz="0" w:space="0" w:color="auto"/>
            <w:right w:val="none" w:sz="0" w:space="0" w:color="auto"/>
          </w:divBdr>
        </w:div>
        <w:div w:id="1731230644">
          <w:marLeft w:val="0"/>
          <w:marRight w:val="0"/>
          <w:marTop w:val="0"/>
          <w:marBottom w:val="0"/>
          <w:divBdr>
            <w:top w:val="none" w:sz="0" w:space="0" w:color="auto"/>
            <w:left w:val="none" w:sz="0" w:space="0" w:color="auto"/>
            <w:bottom w:val="none" w:sz="0" w:space="0" w:color="auto"/>
            <w:right w:val="none" w:sz="0" w:space="0" w:color="auto"/>
          </w:divBdr>
        </w:div>
        <w:div w:id="1453356894">
          <w:marLeft w:val="0"/>
          <w:marRight w:val="0"/>
          <w:marTop w:val="0"/>
          <w:marBottom w:val="0"/>
          <w:divBdr>
            <w:top w:val="none" w:sz="0" w:space="0" w:color="auto"/>
            <w:left w:val="none" w:sz="0" w:space="0" w:color="auto"/>
            <w:bottom w:val="none" w:sz="0" w:space="0" w:color="auto"/>
            <w:right w:val="none" w:sz="0" w:space="0" w:color="auto"/>
          </w:divBdr>
        </w:div>
        <w:div w:id="2134785700">
          <w:marLeft w:val="0"/>
          <w:marRight w:val="0"/>
          <w:marTop w:val="0"/>
          <w:marBottom w:val="0"/>
          <w:divBdr>
            <w:top w:val="none" w:sz="0" w:space="0" w:color="auto"/>
            <w:left w:val="none" w:sz="0" w:space="0" w:color="auto"/>
            <w:bottom w:val="none" w:sz="0" w:space="0" w:color="auto"/>
            <w:right w:val="none" w:sz="0" w:space="0" w:color="auto"/>
          </w:divBdr>
        </w:div>
        <w:div w:id="611933698">
          <w:marLeft w:val="0"/>
          <w:marRight w:val="0"/>
          <w:marTop w:val="0"/>
          <w:marBottom w:val="0"/>
          <w:divBdr>
            <w:top w:val="none" w:sz="0" w:space="0" w:color="auto"/>
            <w:left w:val="none" w:sz="0" w:space="0" w:color="auto"/>
            <w:bottom w:val="none" w:sz="0" w:space="0" w:color="auto"/>
            <w:right w:val="none" w:sz="0" w:space="0" w:color="auto"/>
          </w:divBdr>
        </w:div>
        <w:div w:id="66807028">
          <w:marLeft w:val="0"/>
          <w:marRight w:val="0"/>
          <w:marTop w:val="0"/>
          <w:marBottom w:val="0"/>
          <w:divBdr>
            <w:top w:val="none" w:sz="0" w:space="0" w:color="auto"/>
            <w:left w:val="none" w:sz="0" w:space="0" w:color="auto"/>
            <w:bottom w:val="none" w:sz="0" w:space="0" w:color="auto"/>
            <w:right w:val="none" w:sz="0" w:space="0" w:color="auto"/>
          </w:divBdr>
        </w:div>
        <w:div w:id="111940839">
          <w:marLeft w:val="0"/>
          <w:marRight w:val="0"/>
          <w:marTop w:val="0"/>
          <w:marBottom w:val="0"/>
          <w:divBdr>
            <w:top w:val="none" w:sz="0" w:space="0" w:color="auto"/>
            <w:left w:val="none" w:sz="0" w:space="0" w:color="auto"/>
            <w:bottom w:val="none" w:sz="0" w:space="0" w:color="auto"/>
            <w:right w:val="none" w:sz="0" w:space="0" w:color="auto"/>
          </w:divBdr>
        </w:div>
        <w:div w:id="1786265861">
          <w:marLeft w:val="0"/>
          <w:marRight w:val="0"/>
          <w:marTop w:val="0"/>
          <w:marBottom w:val="0"/>
          <w:divBdr>
            <w:top w:val="none" w:sz="0" w:space="0" w:color="auto"/>
            <w:left w:val="none" w:sz="0" w:space="0" w:color="auto"/>
            <w:bottom w:val="none" w:sz="0" w:space="0" w:color="auto"/>
            <w:right w:val="none" w:sz="0" w:space="0" w:color="auto"/>
          </w:divBdr>
        </w:div>
        <w:div w:id="95298767">
          <w:marLeft w:val="0"/>
          <w:marRight w:val="0"/>
          <w:marTop w:val="0"/>
          <w:marBottom w:val="0"/>
          <w:divBdr>
            <w:top w:val="none" w:sz="0" w:space="0" w:color="auto"/>
            <w:left w:val="none" w:sz="0" w:space="0" w:color="auto"/>
            <w:bottom w:val="none" w:sz="0" w:space="0" w:color="auto"/>
            <w:right w:val="none" w:sz="0" w:space="0" w:color="auto"/>
          </w:divBdr>
        </w:div>
        <w:div w:id="750548367">
          <w:marLeft w:val="0"/>
          <w:marRight w:val="0"/>
          <w:marTop w:val="0"/>
          <w:marBottom w:val="0"/>
          <w:divBdr>
            <w:top w:val="none" w:sz="0" w:space="0" w:color="auto"/>
            <w:left w:val="none" w:sz="0" w:space="0" w:color="auto"/>
            <w:bottom w:val="none" w:sz="0" w:space="0" w:color="auto"/>
            <w:right w:val="none" w:sz="0" w:space="0" w:color="auto"/>
          </w:divBdr>
        </w:div>
        <w:div w:id="115561620">
          <w:marLeft w:val="0"/>
          <w:marRight w:val="0"/>
          <w:marTop w:val="0"/>
          <w:marBottom w:val="0"/>
          <w:divBdr>
            <w:top w:val="none" w:sz="0" w:space="0" w:color="auto"/>
            <w:left w:val="none" w:sz="0" w:space="0" w:color="auto"/>
            <w:bottom w:val="none" w:sz="0" w:space="0" w:color="auto"/>
            <w:right w:val="none" w:sz="0" w:space="0" w:color="auto"/>
          </w:divBdr>
        </w:div>
        <w:div w:id="1554926621">
          <w:marLeft w:val="0"/>
          <w:marRight w:val="0"/>
          <w:marTop w:val="0"/>
          <w:marBottom w:val="0"/>
          <w:divBdr>
            <w:top w:val="none" w:sz="0" w:space="0" w:color="auto"/>
            <w:left w:val="none" w:sz="0" w:space="0" w:color="auto"/>
            <w:bottom w:val="none" w:sz="0" w:space="0" w:color="auto"/>
            <w:right w:val="none" w:sz="0" w:space="0" w:color="auto"/>
          </w:divBdr>
        </w:div>
        <w:div w:id="86466126">
          <w:marLeft w:val="0"/>
          <w:marRight w:val="0"/>
          <w:marTop w:val="0"/>
          <w:marBottom w:val="0"/>
          <w:divBdr>
            <w:top w:val="none" w:sz="0" w:space="0" w:color="auto"/>
            <w:left w:val="none" w:sz="0" w:space="0" w:color="auto"/>
            <w:bottom w:val="none" w:sz="0" w:space="0" w:color="auto"/>
            <w:right w:val="none" w:sz="0" w:space="0" w:color="auto"/>
          </w:divBdr>
        </w:div>
        <w:div w:id="1868635621">
          <w:marLeft w:val="0"/>
          <w:marRight w:val="0"/>
          <w:marTop w:val="0"/>
          <w:marBottom w:val="0"/>
          <w:divBdr>
            <w:top w:val="none" w:sz="0" w:space="0" w:color="auto"/>
            <w:left w:val="none" w:sz="0" w:space="0" w:color="auto"/>
            <w:bottom w:val="none" w:sz="0" w:space="0" w:color="auto"/>
            <w:right w:val="none" w:sz="0" w:space="0" w:color="auto"/>
          </w:divBdr>
        </w:div>
        <w:div w:id="2071537734">
          <w:marLeft w:val="0"/>
          <w:marRight w:val="0"/>
          <w:marTop w:val="0"/>
          <w:marBottom w:val="0"/>
          <w:divBdr>
            <w:top w:val="none" w:sz="0" w:space="0" w:color="auto"/>
            <w:left w:val="none" w:sz="0" w:space="0" w:color="auto"/>
            <w:bottom w:val="none" w:sz="0" w:space="0" w:color="auto"/>
            <w:right w:val="none" w:sz="0" w:space="0" w:color="auto"/>
          </w:divBdr>
        </w:div>
        <w:div w:id="344750910">
          <w:marLeft w:val="0"/>
          <w:marRight w:val="0"/>
          <w:marTop w:val="0"/>
          <w:marBottom w:val="0"/>
          <w:divBdr>
            <w:top w:val="none" w:sz="0" w:space="0" w:color="auto"/>
            <w:left w:val="none" w:sz="0" w:space="0" w:color="auto"/>
            <w:bottom w:val="none" w:sz="0" w:space="0" w:color="auto"/>
            <w:right w:val="none" w:sz="0" w:space="0" w:color="auto"/>
          </w:divBdr>
        </w:div>
        <w:div w:id="685522373">
          <w:marLeft w:val="0"/>
          <w:marRight w:val="0"/>
          <w:marTop w:val="0"/>
          <w:marBottom w:val="0"/>
          <w:divBdr>
            <w:top w:val="none" w:sz="0" w:space="0" w:color="auto"/>
            <w:left w:val="none" w:sz="0" w:space="0" w:color="auto"/>
            <w:bottom w:val="none" w:sz="0" w:space="0" w:color="auto"/>
            <w:right w:val="none" w:sz="0" w:space="0" w:color="auto"/>
          </w:divBdr>
        </w:div>
        <w:div w:id="1366323492">
          <w:marLeft w:val="0"/>
          <w:marRight w:val="0"/>
          <w:marTop w:val="0"/>
          <w:marBottom w:val="0"/>
          <w:divBdr>
            <w:top w:val="none" w:sz="0" w:space="0" w:color="auto"/>
            <w:left w:val="none" w:sz="0" w:space="0" w:color="auto"/>
            <w:bottom w:val="none" w:sz="0" w:space="0" w:color="auto"/>
            <w:right w:val="none" w:sz="0" w:space="0" w:color="auto"/>
          </w:divBdr>
        </w:div>
        <w:div w:id="276527515">
          <w:marLeft w:val="0"/>
          <w:marRight w:val="0"/>
          <w:marTop w:val="0"/>
          <w:marBottom w:val="0"/>
          <w:divBdr>
            <w:top w:val="none" w:sz="0" w:space="0" w:color="auto"/>
            <w:left w:val="none" w:sz="0" w:space="0" w:color="auto"/>
            <w:bottom w:val="none" w:sz="0" w:space="0" w:color="auto"/>
            <w:right w:val="none" w:sz="0" w:space="0" w:color="auto"/>
          </w:divBdr>
        </w:div>
        <w:div w:id="1505246574">
          <w:marLeft w:val="0"/>
          <w:marRight w:val="0"/>
          <w:marTop w:val="0"/>
          <w:marBottom w:val="0"/>
          <w:divBdr>
            <w:top w:val="none" w:sz="0" w:space="0" w:color="auto"/>
            <w:left w:val="none" w:sz="0" w:space="0" w:color="auto"/>
            <w:bottom w:val="none" w:sz="0" w:space="0" w:color="auto"/>
            <w:right w:val="none" w:sz="0" w:space="0" w:color="auto"/>
          </w:divBdr>
        </w:div>
        <w:div w:id="1068307620">
          <w:marLeft w:val="0"/>
          <w:marRight w:val="0"/>
          <w:marTop w:val="0"/>
          <w:marBottom w:val="0"/>
          <w:divBdr>
            <w:top w:val="none" w:sz="0" w:space="0" w:color="auto"/>
            <w:left w:val="none" w:sz="0" w:space="0" w:color="auto"/>
            <w:bottom w:val="none" w:sz="0" w:space="0" w:color="auto"/>
            <w:right w:val="none" w:sz="0" w:space="0" w:color="auto"/>
          </w:divBdr>
        </w:div>
        <w:div w:id="1469740010">
          <w:marLeft w:val="0"/>
          <w:marRight w:val="0"/>
          <w:marTop w:val="0"/>
          <w:marBottom w:val="0"/>
          <w:divBdr>
            <w:top w:val="none" w:sz="0" w:space="0" w:color="auto"/>
            <w:left w:val="none" w:sz="0" w:space="0" w:color="auto"/>
            <w:bottom w:val="none" w:sz="0" w:space="0" w:color="auto"/>
            <w:right w:val="none" w:sz="0" w:space="0" w:color="auto"/>
          </w:divBdr>
        </w:div>
        <w:div w:id="274215821">
          <w:marLeft w:val="0"/>
          <w:marRight w:val="0"/>
          <w:marTop w:val="0"/>
          <w:marBottom w:val="0"/>
          <w:divBdr>
            <w:top w:val="none" w:sz="0" w:space="0" w:color="auto"/>
            <w:left w:val="none" w:sz="0" w:space="0" w:color="auto"/>
            <w:bottom w:val="none" w:sz="0" w:space="0" w:color="auto"/>
            <w:right w:val="none" w:sz="0" w:space="0" w:color="auto"/>
          </w:divBdr>
        </w:div>
        <w:div w:id="1352491647">
          <w:marLeft w:val="0"/>
          <w:marRight w:val="0"/>
          <w:marTop w:val="0"/>
          <w:marBottom w:val="0"/>
          <w:divBdr>
            <w:top w:val="none" w:sz="0" w:space="0" w:color="auto"/>
            <w:left w:val="none" w:sz="0" w:space="0" w:color="auto"/>
            <w:bottom w:val="none" w:sz="0" w:space="0" w:color="auto"/>
            <w:right w:val="none" w:sz="0" w:space="0" w:color="auto"/>
          </w:divBdr>
        </w:div>
        <w:div w:id="1210457965">
          <w:marLeft w:val="0"/>
          <w:marRight w:val="0"/>
          <w:marTop w:val="0"/>
          <w:marBottom w:val="0"/>
          <w:divBdr>
            <w:top w:val="none" w:sz="0" w:space="0" w:color="auto"/>
            <w:left w:val="none" w:sz="0" w:space="0" w:color="auto"/>
            <w:bottom w:val="none" w:sz="0" w:space="0" w:color="auto"/>
            <w:right w:val="none" w:sz="0" w:space="0" w:color="auto"/>
          </w:divBdr>
        </w:div>
        <w:div w:id="499542741">
          <w:marLeft w:val="0"/>
          <w:marRight w:val="0"/>
          <w:marTop w:val="0"/>
          <w:marBottom w:val="0"/>
          <w:divBdr>
            <w:top w:val="none" w:sz="0" w:space="0" w:color="auto"/>
            <w:left w:val="none" w:sz="0" w:space="0" w:color="auto"/>
            <w:bottom w:val="none" w:sz="0" w:space="0" w:color="auto"/>
            <w:right w:val="none" w:sz="0" w:space="0" w:color="auto"/>
          </w:divBdr>
        </w:div>
        <w:div w:id="529804195">
          <w:marLeft w:val="0"/>
          <w:marRight w:val="0"/>
          <w:marTop w:val="0"/>
          <w:marBottom w:val="0"/>
          <w:divBdr>
            <w:top w:val="none" w:sz="0" w:space="0" w:color="auto"/>
            <w:left w:val="none" w:sz="0" w:space="0" w:color="auto"/>
            <w:bottom w:val="none" w:sz="0" w:space="0" w:color="auto"/>
            <w:right w:val="none" w:sz="0" w:space="0" w:color="auto"/>
          </w:divBdr>
        </w:div>
        <w:div w:id="856963388">
          <w:marLeft w:val="0"/>
          <w:marRight w:val="0"/>
          <w:marTop w:val="0"/>
          <w:marBottom w:val="0"/>
          <w:divBdr>
            <w:top w:val="none" w:sz="0" w:space="0" w:color="auto"/>
            <w:left w:val="none" w:sz="0" w:space="0" w:color="auto"/>
            <w:bottom w:val="none" w:sz="0" w:space="0" w:color="auto"/>
            <w:right w:val="none" w:sz="0" w:space="0" w:color="auto"/>
          </w:divBdr>
        </w:div>
        <w:div w:id="1468161467">
          <w:marLeft w:val="0"/>
          <w:marRight w:val="0"/>
          <w:marTop w:val="0"/>
          <w:marBottom w:val="0"/>
          <w:divBdr>
            <w:top w:val="none" w:sz="0" w:space="0" w:color="auto"/>
            <w:left w:val="none" w:sz="0" w:space="0" w:color="auto"/>
            <w:bottom w:val="none" w:sz="0" w:space="0" w:color="auto"/>
            <w:right w:val="none" w:sz="0" w:space="0" w:color="auto"/>
          </w:divBdr>
        </w:div>
        <w:div w:id="1843354846">
          <w:marLeft w:val="0"/>
          <w:marRight w:val="0"/>
          <w:marTop w:val="0"/>
          <w:marBottom w:val="0"/>
          <w:divBdr>
            <w:top w:val="none" w:sz="0" w:space="0" w:color="auto"/>
            <w:left w:val="none" w:sz="0" w:space="0" w:color="auto"/>
            <w:bottom w:val="none" w:sz="0" w:space="0" w:color="auto"/>
            <w:right w:val="none" w:sz="0" w:space="0" w:color="auto"/>
          </w:divBdr>
        </w:div>
        <w:div w:id="1329097778">
          <w:marLeft w:val="0"/>
          <w:marRight w:val="0"/>
          <w:marTop w:val="0"/>
          <w:marBottom w:val="0"/>
          <w:divBdr>
            <w:top w:val="none" w:sz="0" w:space="0" w:color="auto"/>
            <w:left w:val="none" w:sz="0" w:space="0" w:color="auto"/>
            <w:bottom w:val="none" w:sz="0" w:space="0" w:color="auto"/>
            <w:right w:val="none" w:sz="0" w:space="0" w:color="auto"/>
          </w:divBdr>
        </w:div>
        <w:div w:id="1520050670">
          <w:marLeft w:val="0"/>
          <w:marRight w:val="0"/>
          <w:marTop w:val="0"/>
          <w:marBottom w:val="0"/>
          <w:divBdr>
            <w:top w:val="none" w:sz="0" w:space="0" w:color="auto"/>
            <w:left w:val="none" w:sz="0" w:space="0" w:color="auto"/>
            <w:bottom w:val="none" w:sz="0" w:space="0" w:color="auto"/>
            <w:right w:val="none" w:sz="0" w:space="0" w:color="auto"/>
          </w:divBdr>
        </w:div>
        <w:div w:id="822546088">
          <w:marLeft w:val="0"/>
          <w:marRight w:val="0"/>
          <w:marTop w:val="0"/>
          <w:marBottom w:val="0"/>
          <w:divBdr>
            <w:top w:val="none" w:sz="0" w:space="0" w:color="auto"/>
            <w:left w:val="none" w:sz="0" w:space="0" w:color="auto"/>
            <w:bottom w:val="none" w:sz="0" w:space="0" w:color="auto"/>
            <w:right w:val="none" w:sz="0" w:space="0" w:color="auto"/>
          </w:divBdr>
        </w:div>
        <w:div w:id="1012335969">
          <w:marLeft w:val="0"/>
          <w:marRight w:val="0"/>
          <w:marTop w:val="0"/>
          <w:marBottom w:val="0"/>
          <w:divBdr>
            <w:top w:val="none" w:sz="0" w:space="0" w:color="auto"/>
            <w:left w:val="none" w:sz="0" w:space="0" w:color="auto"/>
            <w:bottom w:val="none" w:sz="0" w:space="0" w:color="auto"/>
            <w:right w:val="none" w:sz="0" w:space="0" w:color="auto"/>
          </w:divBdr>
        </w:div>
        <w:div w:id="1776636731">
          <w:marLeft w:val="0"/>
          <w:marRight w:val="0"/>
          <w:marTop w:val="0"/>
          <w:marBottom w:val="0"/>
          <w:divBdr>
            <w:top w:val="none" w:sz="0" w:space="0" w:color="auto"/>
            <w:left w:val="none" w:sz="0" w:space="0" w:color="auto"/>
            <w:bottom w:val="none" w:sz="0" w:space="0" w:color="auto"/>
            <w:right w:val="none" w:sz="0" w:space="0" w:color="auto"/>
          </w:divBdr>
        </w:div>
        <w:div w:id="425813141">
          <w:marLeft w:val="0"/>
          <w:marRight w:val="0"/>
          <w:marTop w:val="0"/>
          <w:marBottom w:val="0"/>
          <w:divBdr>
            <w:top w:val="none" w:sz="0" w:space="0" w:color="auto"/>
            <w:left w:val="none" w:sz="0" w:space="0" w:color="auto"/>
            <w:bottom w:val="none" w:sz="0" w:space="0" w:color="auto"/>
            <w:right w:val="none" w:sz="0" w:space="0" w:color="auto"/>
          </w:divBdr>
        </w:div>
        <w:div w:id="1540161837">
          <w:marLeft w:val="0"/>
          <w:marRight w:val="0"/>
          <w:marTop w:val="0"/>
          <w:marBottom w:val="0"/>
          <w:divBdr>
            <w:top w:val="none" w:sz="0" w:space="0" w:color="auto"/>
            <w:left w:val="none" w:sz="0" w:space="0" w:color="auto"/>
            <w:bottom w:val="none" w:sz="0" w:space="0" w:color="auto"/>
            <w:right w:val="none" w:sz="0" w:space="0" w:color="auto"/>
          </w:divBdr>
        </w:div>
        <w:div w:id="533157510">
          <w:marLeft w:val="0"/>
          <w:marRight w:val="0"/>
          <w:marTop w:val="0"/>
          <w:marBottom w:val="0"/>
          <w:divBdr>
            <w:top w:val="none" w:sz="0" w:space="0" w:color="auto"/>
            <w:left w:val="none" w:sz="0" w:space="0" w:color="auto"/>
            <w:bottom w:val="none" w:sz="0" w:space="0" w:color="auto"/>
            <w:right w:val="none" w:sz="0" w:space="0" w:color="auto"/>
          </w:divBdr>
        </w:div>
        <w:div w:id="1846675268">
          <w:marLeft w:val="0"/>
          <w:marRight w:val="0"/>
          <w:marTop w:val="0"/>
          <w:marBottom w:val="0"/>
          <w:divBdr>
            <w:top w:val="none" w:sz="0" w:space="0" w:color="auto"/>
            <w:left w:val="none" w:sz="0" w:space="0" w:color="auto"/>
            <w:bottom w:val="none" w:sz="0" w:space="0" w:color="auto"/>
            <w:right w:val="none" w:sz="0" w:space="0" w:color="auto"/>
          </w:divBdr>
        </w:div>
        <w:div w:id="1033193519">
          <w:marLeft w:val="0"/>
          <w:marRight w:val="0"/>
          <w:marTop w:val="0"/>
          <w:marBottom w:val="0"/>
          <w:divBdr>
            <w:top w:val="none" w:sz="0" w:space="0" w:color="auto"/>
            <w:left w:val="none" w:sz="0" w:space="0" w:color="auto"/>
            <w:bottom w:val="none" w:sz="0" w:space="0" w:color="auto"/>
            <w:right w:val="none" w:sz="0" w:space="0" w:color="auto"/>
          </w:divBdr>
        </w:div>
        <w:div w:id="1482430160">
          <w:marLeft w:val="0"/>
          <w:marRight w:val="0"/>
          <w:marTop w:val="0"/>
          <w:marBottom w:val="0"/>
          <w:divBdr>
            <w:top w:val="none" w:sz="0" w:space="0" w:color="auto"/>
            <w:left w:val="none" w:sz="0" w:space="0" w:color="auto"/>
            <w:bottom w:val="none" w:sz="0" w:space="0" w:color="auto"/>
            <w:right w:val="none" w:sz="0" w:space="0" w:color="auto"/>
          </w:divBdr>
        </w:div>
        <w:div w:id="1234975524">
          <w:marLeft w:val="0"/>
          <w:marRight w:val="0"/>
          <w:marTop w:val="0"/>
          <w:marBottom w:val="0"/>
          <w:divBdr>
            <w:top w:val="none" w:sz="0" w:space="0" w:color="auto"/>
            <w:left w:val="none" w:sz="0" w:space="0" w:color="auto"/>
            <w:bottom w:val="none" w:sz="0" w:space="0" w:color="auto"/>
            <w:right w:val="none" w:sz="0" w:space="0" w:color="auto"/>
          </w:divBdr>
        </w:div>
        <w:div w:id="2145343497">
          <w:marLeft w:val="0"/>
          <w:marRight w:val="0"/>
          <w:marTop w:val="0"/>
          <w:marBottom w:val="0"/>
          <w:divBdr>
            <w:top w:val="none" w:sz="0" w:space="0" w:color="auto"/>
            <w:left w:val="none" w:sz="0" w:space="0" w:color="auto"/>
            <w:bottom w:val="none" w:sz="0" w:space="0" w:color="auto"/>
            <w:right w:val="none" w:sz="0" w:space="0" w:color="auto"/>
          </w:divBdr>
        </w:div>
        <w:div w:id="77529481">
          <w:marLeft w:val="0"/>
          <w:marRight w:val="0"/>
          <w:marTop w:val="0"/>
          <w:marBottom w:val="0"/>
          <w:divBdr>
            <w:top w:val="none" w:sz="0" w:space="0" w:color="auto"/>
            <w:left w:val="none" w:sz="0" w:space="0" w:color="auto"/>
            <w:bottom w:val="none" w:sz="0" w:space="0" w:color="auto"/>
            <w:right w:val="none" w:sz="0" w:space="0" w:color="auto"/>
          </w:divBdr>
        </w:div>
        <w:div w:id="1702852955">
          <w:marLeft w:val="0"/>
          <w:marRight w:val="0"/>
          <w:marTop w:val="0"/>
          <w:marBottom w:val="0"/>
          <w:divBdr>
            <w:top w:val="none" w:sz="0" w:space="0" w:color="auto"/>
            <w:left w:val="none" w:sz="0" w:space="0" w:color="auto"/>
            <w:bottom w:val="none" w:sz="0" w:space="0" w:color="auto"/>
            <w:right w:val="none" w:sz="0" w:space="0" w:color="auto"/>
          </w:divBdr>
        </w:div>
        <w:div w:id="1290555216">
          <w:marLeft w:val="0"/>
          <w:marRight w:val="0"/>
          <w:marTop w:val="0"/>
          <w:marBottom w:val="0"/>
          <w:divBdr>
            <w:top w:val="none" w:sz="0" w:space="0" w:color="auto"/>
            <w:left w:val="none" w:sz="0" w:space="0" w:color="auto"/>
            <w:bottom w:val="none" w:sz="0" w:space="0" w:color="auto"/>
            <w:right w:val="none" w:sz="0" w:space="0" w:color="auto"/>
          </w:divBdr>
        </w:div>
        <w:div w:id="1567493652">
          <w:marLeft w:val="0"/>
          <w:marRight w:val="0"/>
          <w:marTop w:val="0"/>
          <w:marBottom w:val="0"/>
          <w:divBdr>
            <w:top w:val="none" w:sz="0" w:space="0" w:color="auto"/>
            <w:left w:val="none" w:sz="0" w:space="0" w:color="auto"/>
            <w:bottom w:val="none" w:sz="0" w:space="0" w:color="auto"/>
            <w:right w:val="none" w:sz="0" w:space="0" w:color="auto"/>
          </w:divBdr>
        </w:div>
        <w:div w:id="793403791">
          <w:marLeft w:val="0"/>
          <w:marRight w:val="0"/>
          <w:marTop w:val="0"/>
          <w:marBottom w:val="0"/>
          <w:divBdr>
            <w:top w:val="none" w:sz="0" w:space="0" w:color="auto"/>
            <w:left w:val="none" w:sz="0" w:space="0" w:color="auto"/>
            <w:bottom w:val="none" w:sz="0" w:space="0" w:color="auto"/>
            <w:right w:val="none" w:sz="0" w:space="0" w:color="auto"/>
          </w:divBdr>
        </w:div>
        <w:div w:id="1584141208">
          <w:marLeft w:val="0"/>
          <w:marRight w:val="0"/>
          <w:marTop w:val="0"/>
          <w:marBottom w:val="0"/>
          <w:divBdr>
            <w:top w:val="none" w:sz="0" w:space="0" w:color="auto"/>
            <w:left w:val="none" w:sz="0" w:space="0" w:color="auto"/>
            <w:bottom w:val="none" w:sz="0" w:space="0" w:color="auto"/>
            <w:right w:val="none" w:sz="0" w:space="0" w:color="auto"/>
          </w:divBdr>
        </w:div>
        <w:div w:id="731541891">
          <w:marLeft w:val="0"/>
          <w:marRight w:val="0"/>
          <w:marTop w:val="0"/>
          <w:marBottom w:val="0"/>
          <w:divBdr>
            <w:top w:val="none" w:sz="0" w:space="0" w:color="auto"/>
            <w:left w:val="none" w:sz="0" w:space="0" w:color="auto"/>
            <w:bottom w:val="none" w:sz="0" w:space="0" w:color="auto"/>
            <w:right w:val="none" w:sz="0" w:space="0" w:color="auto"/>
          </w:divBdr>
        </w:div>
        <w:div w:id="1765956428">
          <w:marLeft w:val="0"/>
          <w:marRight w:val="0"/>
          <w:marTop w:val="0"/>
          <w:marBottom w:val="0"/>
          <w:divBdr>
            <w:top w:val="none" w:sz="0" w:space="0" w:color="auto"/>
            <w:left w:val="none" w:sz="0" w:space="0" w:color="auto"/>
            <w:bottom w:val="none" w:sz="0" w:space="0" w:color="auto"/>
            <w:right w:val="none" w:sz="0" w:space="0" w:color="auto"/>
          </w:divBdr>
        </w:div>
        <w:div w:id="580337331">
          <w:marLeft w:val="0"/>
          <w:marRight w:val="0"/>
          <w:marTop w:val="0"/>
          <w:marBottom w:val="0"/>
          <w:divBdr>
            <w:top w:val="none" w:sz="0" w:space="0" w:color="auto"/>
            <w:left w:val="none" w:sz="0" w:space="0" w:color="auto"/>
            <w:bottom w:val="none" w:sz="0" w:space="0" w:color="auto"/>
            <w:right w:val="none" w:sz="0" w:space="0" w:color="auto"/>
          </w:divBdr>
        </w:div>
        <w:div w:id="1960064102">
          <w:marLeft w:val="0"/>
          <w:marRight w:val="0"/>
          <w:marTop w:val="0"/>
          <w:marBottom w:val="0"/>
          <w:divBdr>
            <w:top w:val="none" w:sz="0" w:space="0" w:color="auto"/>
            <w:left w:val="none" w:sz="0" w:space="0" w:color="auto"/>
            <w:bottom w:val="none" w:sz="0" w:space="0" w:color="auto"/>
            <w:right w:val="none" w:sz="0" w:space="0" w:color="auto"/>
          </w:divBdr>
        </w:div>
        <w:div w:id="1159690228">
          <w:marLeft w:val="0"/>
          <w:marRight w:val="0"/>
          <w:marTop w:val="0"/>
          <w:marBottom w:val="0"/>
          <w:divBdr>
            <w:top w:val="none" w:sz="0" w:space="0" w:color="auto"/>
            <w:left w:val="none" w:sz="0" w:space="0" w:color="auto"/>
            <w:bottom w:val="none" w:sz="0" w:space="0" w:color="auto"/>
            <w:right w:val="none" w:sz="0" w:space="0" w:color="auto"/>
          </w:divBdr>
        </w:div>
        <w:div w:id="1745253545">
          <w:marLeft w:val="0"/>
          <w:marRight w:val="0"/>
          <w:marTop w:val="0"/>
          <w:marBottom w:val="0"/>
          <w:divBdr>
            <w:top w:val="none" w:sz="0" w:space="0" w:color="auto"/>
            <w:left w:val="none" w:sz="0" w:space="0" w:color="auto"/>
            <w:bottom w:val="none" w:sz="0" w:space="0" w:color="auto"/>
            <w:right w:val="none" w:sz="0" w:space="0" w:color="auto"/>
          </w:divBdr>
        </w:div>
        <w:div w:id="531311197">
          <w:marLeft w:val="0"/>
          <w:marRight w:val="0"/>
          <w:marTop w:val="0"/>
          <w:marBottom w:val="0"/>
          <w:divBdr>
            <w:top w:val="none" w:sz="0" w:space="0" w:color="auto"/>
            <w:left w:val="none" w:sz="0" w:space="0" w:color="auto"/>
            <w:bottom w:val="none" w:sz="0" w:space="0" w:color="auto"/>
            <w:right w:val="none" w:sz="0" w:space="0" w:color="auto"/>
          </w:divBdr>
        </w:div>
        <w:div w:id="970863275">
          <w:marLeft w:val="0"/>
          <w:marRight w:val="0"/>
          <w:marTop w:val="0"/>
          <w:marBottom w:val="0"/>
          <w:divBdr>
            <w:top w:val="none" w:sz="0" w:space="0" w:color="auto"/>
            <w:left w:val="none" w:sz="0" w:space="0" w:color="auto"/>
            <w:bottom w:val="none" w:sz="0" w:space="0" w:color="auto"/>
            <w:right w:val="none" w:sz="0" w:space="0" w:color="auto"/>
          </w:divBdr>
        </w:div>
        <w:div w:id="1583296687">
          <w:marLeft w:val="0"/>
          <w:marRight w:val="0"/>
          <w:marTop w:val="0"/>
          <w:marBottom w:val="0"/>
          <w:divBdr>
            <w:top w:val="none" w:sz="0" w:space="0" w:color="auto"/>
            <w:left w:val="none" w:sz="0" w:space="0" w:color="auto"/>
            <w:bottom w:val="none" w:sz="0" w:space="0" w:color="auto"/>
            <w:right w:val="none" w:sz="0" w:space="0" w:color="auto"/>
          </w:divBdr>
        </w:div>
        <w:div w:id="1245070600">
          <w:marLeft w:val="0"/>
          <w:marRight w:val="0"/>
          <w:marTop w:val="0"/>
          <w:marBottom w:val="0"/>
          <w:divBdr>
            <w:top w:val="none" w:sz="0" w:space="0" w:color="auto"/>
            <w:left w:val="none" w:sz="0" w:space="0" w:color="auto"/>
            <w:bottom w:val="none" w:sz="0" w:space="0" w:color="auto"/>
            <w:right w:val="none" w:sz="0" w:space="0" w:color="auto"/>
          </w:divBdr>
        </w:div>
        <w:div w:id="1521429826">
          <w:marLeft w:val="0"/>
          <w:marRight w:val="0"/>
          <w:marTop w:val="0"/>
          <w:marBottom w:val="0"/>
          <w:divBdr>
            <w:top w:val="none" w:sz="0" w:space="0" w:color="auto"/>
            <w:left w:val="none" w:sz="0" w:space="0" w:color="auto"/>
            <w:bottom w:val="none" w:sz="0" w:space="0" w:color="auto"/>
            <w:right w:val="none" w:sz="0" w:space="0" w:color="auto"/>
          </w:divBdr>
        </w:div>
        <w:div w:id="1147743689">
          <w:marLeft w:val="0"/>
          <w:marRight w:val="0"/>
          <w:marTop w:val="0"/>
          <w:marBottom w:val="0"/>
          <w:divBdr>
            <w:top w:val="none" w:sz="0" w:space="0" w:color="auto"/>
            <w:left w:val="none" w:sz="0" w:space="0" w:color="auto"/>
            <w:bottom w:val="none" w:sz="0" w:space="0" w:color="auto"/>
            <w:right w:val="none" w:sz="0" w:space="0" w:color="auto"/>
          </w:divBdr>
        </w:div>
        <w:div w:id="403650288">
          <w:marLeft w:val="0"/>
          <w:marRight w:val="0"/>
          <w:marTop w:val="0"/>
          <w:marBottom w:val="0"/>
          <w:divBdr>
            <w:top w:val="none" w:sz="0" w:space="0" w:color="auto"/>
            <w:left w:val="none" w:sz="0" w:space="0" w:color="auto"/>
            <w:bottom w:val="none" w:sz="0" w:space="0" w:color="auto"/>
            <w:right w:val="none" w:sz="0" w:space="0" w:color="auto"/>
          </w:divBdr>
        </w:div>
        <w:div w:id="649987773">
          <w:marLeft w:val="0"/>
          <w:marRight w:val="0"/>
          <w:marTop w:val="0"/>
          <w:marBottom w:val="0"/>
          <w:divBdr>
            <w:top w:val="none" w:sz="0" w:space="0" w:color="auto"/>
            <w:left w:val="none" w:sz="0" w:space="0" w:color="auto"/>
            <w:bottom w:val="none" w:sz="0" w:space="0" w:color="auto"/>
            <w:right w:val="none" w:sz="0" w:space="0" w:color="auto"/>
          </w:divBdr>
        </w:div>
        <w:div w:id="132210742">
          <w:marLeft w:val="0"/>
          <w:marRight w:val="0"/>
          <w:marTop w:val="0"/>
          <w:marBottom w:val="0"/>
          <w:divBdr>
            <w:top w:val="none" w:sz="0" w:space="0" w:color="auto"/>
            <w:left w:val="none" w:sz="0" w:space="0" w:color="auto"/>
            <w:bottom w:val="none" w:sz="0" w:space="0" w:color="auto"/>
            <w:right w:val="none" w:sz="0" w:space="0" w:color="auto"/>
          </w:divBdr>
        </w:div>
        <w:div w:id="156921001">
          <w:marLeft w:val="0"/>
          <w:marRight w:val="0"/>
          <w:marTop w:val="0"/>
          <w:marBottom w:val="0"/>
          <w:divBdr>
            <w:top w:val="none" w:sz="0" w:space="0" w:color="auto"/>
            <w:left w:val="none" w:sz="0" w:space="0" w:color="auto"/>
            <w:bottom w:val="none" w:sz="0" w:space="0" w:color="auto"/>
            <w:right w:val="none" w:sz="0" w:space="0" w:color="auto"/>
          </w:divBdr>
        </w:div>
        <w:div w:id="1047147487">
          <w:marLeft w:val="0"/>
          <w:marRight w:val="0"/>
          <w:marTop w:val="0"/>
          <w:marBottom w:val="0"/>
          <w:divBdr>
            <w:top w:val="none" w:sz="0" w:space="0" w:color="auto"/>
            <w:left w:val="none" w:sz="0" w:space="0" w:color="auto"/>
            <w:bottom w:val="none" w:sz="0" w:space="0" w:color="auto"/>
            <w:right w:val="none" w:sz="0" w:space="0" w:color="auto"/>
          </w:divBdr>
        </w:div>
        <w:div w:id="236015304">
          <w:marLeft w:val="0"/>
          <w:marRight w:val="0"/>
          <w:marTop w:val="0"/>
          <w:marBottom w:val="0"/>
          <w:divBdr>
            <w:top w:val="none" w:sz="0" w:space="0" w:color="auto"/>
            <w:left w:val="none" w:sz="0" w:space="0" w:color="auto"/>
            <w:bottom w:val="none" w:sz="0" w:space="0" w:color="auto"/>
            <w:right w:val="none" w:sz="0" w:space="0" w:color="auto"/>
          </w:divBdr>
        </w:div>
        <w:div w:id="1688017730">
          <w:marLeft w:val="0"/>
          <w:marRight w:val="0"/>
          <w:marTop w:val="0"/>
          <w:marBottom w:val="0"/>
          <w:divBdr>
            <w:top w:val="none" w:sz="0" w:space="0" w:color="auto"/>
            <w:left w:val="none" w:sz="0" w:space="0" w:color="auto"/>
            <w:bottom w:val="none" w:sz="0" w:space="0" w:color="auto"/>
            <w:right w:val="none" w:sz="0" w:space="0" w:color="auto"/>
          </w:divBdr>
        </w:div>
      </w:divsChild>
    </w:div>
    <w:div w:id="1326322596">
      <w:bodyDiv w:val="1"/>
      <w:marLeft w:val="0"/>
      <w:marRight w:val="0"/>
      <w:marTop w:val="0"/>
      <w:marBottom w:val="0"/>
      <w:divBdr>
        <w:top w:val="none" w:sz="0" w:space="0" w:color="auto"/>
        <w:left w:val="none" w:sz="0" w:space="0" w:color="auto"/>
        <w:bottom w:val="none" w:sz="0" w:space="0" w:color="auto"/>
        <w:right w:val="none" w:sz="0" w:space="0" w:color="auto"/>
      </w:divBdr>
    </w:div>
    <w:div w:id="1332756659">
      <w:bodyDiv w:val="1"/>
      <w:marLeft w:val="0"/>
      <w:marRight w:val="0"/>
      <w:marTop w:val="0"/>
      <w:marBottom w:val="0"/>
      <w:divBdr>
        <w:top w:val="none" w:sz="0" w:space="0" w:color="auto"/>
        <w:left w:val="none" w:sz="0" w:space="0" w:color="auto"/>
        <w:bottom w:val="none" w:sz="0" w:space="0" w:color="auto"/>
        <w:right w:val="none" w:sz="0" w:space="0" w:color="auto"/>
      </w:divBdr>
    </w:div>
    <w:div w:id="1333796432">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50596480">
      <w:bodyDiv w:val="1"/>
      <w:marLeft w:val="0"/>
      <w:marRight w:val="0"/>
      <w:marTop w:val="0"/>
      <w:marBottom w:val="0"/>
      <w:divBdr>
        <w:top w:val="none" w:sz="0" w:space="0" w:color="auto"/>
        <w:left w:val="none" w:sz="0" w:space="0" w:color="auto"/>
        <w:bottom w:val="none" w:sz="0" w:space="0" w:color="auto"/>
        <w:right w:val="none" w:sz="0" w:space="0" w:color="auto"/>
      </w:divBdr>
    </w:div>
    <w:div w:id="1354380962">
      <w:bodyDiv w:val="1"/>
      <w:marLeft w:val="0"/>
      <w:marRight w:val="0"/>
      <w:marTop w:val="0"/>
      <w:marBottom w:val="0"/>
      <w:divBdr>
        <w:top w:val="none" w:sz="0" w:space="0" w:color="auto"/>
        <w:left w:val="none" w:sz="0" w:space="0" w:color="auto"/>
        <w:bottom w:val="none" w:sz="0" w:space="0" w:color="auto"/>
        <w:right w:val="none" w:sz="0" w:space="0" w:color="auto"/>
      </w:divBdr>
    </w:div>
    <w:div w:id="1363674857">
      <w:bodyDiv w:val="1"/>
      <w:marLeft w:val="0"/>
      <w:marRight w:val="0"/>
      <w:marTop w:val="0"/>
      <w:marBottom w:val="0"/>
      <w:divBdr>
        <w:top w:val="none" w:sz="0" w:space="0" w:color="auto"/>
        <w:left w:val="none" w:sz="0" w:space="0" w:color="auto"/>
        <w:bottom w:val="none" w:sz="0" w:space="0" w:color="auto"/>
        <w:right w:val="none" w:sz="0" w:space="0" w:color="auto"/>
      </w:divBdr>
    </w:div>
    <w:div w:id="1372345701">
      <w:bodyDiv w:val="1"/>
      <w:marLeft w:val="0"/>
      <w:marRight w:val="0"/>
      <w:marTop w:val="0"/>
      <w:marBottom w:val="0"/>
      <w:divBdr>
        <w:top w:val="none" w:sz="0" w:space="0" w:color="auto"/>
        <w:left w:val="none" w:sz="0" w:space="0" w:color="auto"/>
        <w:bottom w:val="none" w:sz="0" w:space="0" w:color="auto"/>
        <w:right w:val="none" w:sz="0" w:space="0" w:color="auto"/>
      </w:divBdr>
    </w:div>
    <w:div w:id="1381710676">
      <w:bodyDiv w:val="1"/>
      <w:marLeft w:val="0"/>
      <w:marRight w:val="0"/>
      <w:marTop w:val="0"/>
      <w:marBottom w:val="0"/>
      <w:divBdr>
        <w:top w:val="none" w:sz="0" w:space="0" w:color="auto"/>
        <w:left w:val="none" w:sz="0" w:space="0" w:color="auto"/>
        <w:bottom w:val="none" w:sz="0" w:space="0" w:color="auto"/>
        <w:right w:val="none" w:sz="0" w:space="0" w:color="auto"/>
      </w:divBdr>
    </w:div>
    <w:div w:id="1394545929">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36168673">
      <w:bodyDiv w:val="1"/>
      <w:marLeft w:val="0"/>
      <w:marRight w:val="0"/>
      <w:marTop w:val="0"/>
      <w:marBottom w:val="0"/>
      <w:divBdr>
        <w:top w:val="none" w:sz="0" w:space="0" w:color="auto"/>
        <w:left w:val="none" w:sz="0" w:space="0" w:color="auto"/>
        <w:bottom w:val="none" w:sz="0" w:space="0" w:color="auto"/>
        <w:right w:val="none" w:sz="0" w:space="0" w:color="auto"/>
      </w:divBdr>
    </w:div>
    <w:div w:id="1469665522">
      <w:bodyDiv w:val="1"/>
      <w:marLeft w:val="0"/>
      <w:marRight w:val="0"/>
      <w:marTop w:val="0"/>
      <w:marBottom w:val="0"/>
      <w:divBdr>
        <w:top w:val="none" w:sz="0" w:space="0" w:color="auto"/>
        <w:left w:val="none" w:sz="0" w:space="0" w:color="auto"/>
        <w:bottom w:val="none" w:sz="0" w:space="0" w:color="auto"/>
        <w:right w:val="none" w:sz="0" w:space="0" w:color="auto"/>
      </w:divBdr>
    </w:div>
    <w:div w:id="1474637268">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47062545">
      <w:bodyDiv w:val="1"/>
      <w:marLeft w:val="0"/>
      <w:marRight w:val="0"/>
      <w:marTop w:val="0"/>
      <w:marBottom w:val="0"/>
      <w:divBdr>
        <w:top w:val="none" w:sz="0" w:space="0" w:color="auto"/>
        <w:left w:val="none" w:sz="0" w:space="0" w:color="auto"/>
        <w:bottom w:val="none" w:sz="0" w:space="0" w:color="auto"/>
        <w:right w:val="none" w:sz="0" w:space="0" w:color="auto"/>
      </w:divBdr>
    </w:div>
    <w:div w:id="1549486059">
      <w:bodyDiv w:val="1"/>
      <w:marLeft w:val="0"/>
      <w:marRight w:val="0"/>
      <w:marTop w:val="0"/>
      <w:marBottom w:val="0"/>
      <w:divBdr>
        <w:top w:val="none" w:sz="0" w:space="0" w:color="auto"/>
        <w:left w:val="none" w:sz="0" w:space="0" w:color="auto"/>
        <w:bottom w:val="none" w:sz="0" w:space="0" w:color="auto"/>
        <w:right w:val="none" w:sz="0" w:space="0" w:color="auto"/>
      </w:divBdr>
    </w:div>
    <w:div w:id="1561557609">
      <w:bodyDiv w:val="1"/>
      <w:marLeft w:val="0"/>
      <w:marRight w:val="0"/>
      <w:marTop w:val="0"/>
      <w:marBottom w:val="0"/>
      <w:divBdr>
        <w:top w:val="none" w:sz="0" w:space="0" w:color="auto"/>
        <w:left w:val="none" w:sz="0" w:space="0" w:color="auto"/>
        <w:bottom w:val="none" w:sz="0" w:space="0" w:color="auto"/>
        <w:right w:val="none" w:sz="0" w:space="0" w:color="auto"/>
      </w:divBdr>
    </w:div>
    <w:div w:id="1564607787">
      <w:bodyDiv w:val="1"/>
      <w:marLeft w:val="0"/>
      <w:marRight w:val="0"/>
      <w:marTop w:val="0"/>
      <w:marBottom w:val="0"/>
      <w:divBdr>
        <w:top w:val="none" w:sz="0" w:space="0" w:color="auto"/>
        <w:left w:val="none" w:sz="0" w:space="0" w:color="auto"/>
        <w:bottom w:val="none" w:sz="0" w:space="0" w:color="auto"/>
        <w:right w:val="none" w:sz="0" w:space="0" w:color="auto"/>
      </w:divBdr>
    </w:div>
    <w:div w:id="1581984434">
      <w:bodyDiv w:val="1"/>
      <w:marLeft w:val="0"/>
      <w:marRight w:val="0"/>
      <w:marTop w:val="0"/>
      <w:marBottom w:val="0"/>
      <w:divBdr>
        <w:top w:val="none" w:sz="0" w:space="0" w:color="auto"/>
        <w:left w:val="none" w:sz="0" w:space="0" w:color="auto"/>
        <w:bottom w:val="none" w:sz="0" w:space="0" w:color="auto"/>
        <w:right w:val="none" w:sz="0" w:space="0" w:color="auto"/>
      </w:divBdr>
    </w:div>
    <w:div w:id="1639725782">
      <w:bodyDiv w:val="1"/>
      <w:marLeft w:val="0"/>
      <w:marRight w:val="0"/>
      <w:marTop w:val="0"/>
      <w:marBottom w:val="0"/>
      <w:divBdr>
        <w:top w:val="none" w:sz="0" w:space="0" w:color="auto"/>
        <w:left w:val="none" w:sz="0" w:space="0" w:color="auto"/>
        <w:bottom w:val="none" w:sz="0" w:space="0" w:color="auto"/>
        <w:right w:val="none" w:sz="0" w:space="0" w:color="auto"/>
      </w:divBdr>
    </w:div>
    <w:div w:id="1676346475">
      <w:bodyDiv w:val="1"/>
      <w:marLeft w:val="0"/>
      <w:marRight w:val="0"/>
      <w:marTop w:val="0"/>
      <w:marBottom w:val="0"/>
      <w:divBdr>
        <w:top w:val="none" w:sz="0" w:space="0" w:color="auto"/>
        <w:left w:val="none" w:sz="0" w:space="0" w:color="auto"/>
        <w:bottom w:val="none" w:sz="0" w:space="0" w:color="auto"/>
        <w:right w:val="none" w:sz="0" w:space="0" w:color="auto"/>
      </w:divBdr>
    </w:div>
    <w:div w:id="1679961389">
      <w:bodyDiv w:val="1"/>
      <w:marLeft w:val="0"/>
      <w:marRight w:val="0"/>
      <w:marTop w:val="0"/>
      <w:marBottom w:val="0"/>
      <w:divBdr>
        <w:top w:val="none" w:sz="0" w:space="0" w:color="auto"/>
        <w:left w:val="none" w:sz="0" w:space="0" w:color="auto"/>
        <w:bottom w:val="none" w:sz="0" w:space="0" w:color="auto"/>
        <w:right w:val="none" w:sz="0" w:space="0" w:color="auto"/>
      </w:divBdr>
    </w:div>
    <w:div w:id="1687902640">
      <w:bodyDiv w:val="1"/>
      <w:marLeft w:val="0"/>
      <w:marRight w:val="0"/>
      <w:marTop w:val="0"/>
      <w:marBottom w:val="0"/>
      <w:divBdr>
        <w:top w:val="none" w:sz="0" w:space="0" w:color="auto"/>
        <w:left w:val="none" w:sz="0" w:space="0" w:color="auto"/>
        <w:bottom w:val="none" w:sz="0" w:space="0" w:color="auto"/>
        <w:right w:val="none" w:sz="0" w:space="0" w:color="auto"/>
      </w:divBdr>
    </w:div>
    <w:div w:id="1692994089">
      <w:bodyDiv w:val="1"/>
      <w:marLeft w:val="0"/>
      <w:marRight w:val="0"/>
      <w:marTop w:val="0"/>
      <w:marBottom w:val="0"/>
      <w:divBdr>
        <w:top w:val="none" w:sz="0" w:space="0" w:color="auto"/>
        <w:left w:val="none" w:sz="0" w:space="0" w:color="auto"/>
        <w:bottom w:val="none" w:sz="0" w:space="0" w:color="auto"/>
        <w:right w:val="none" w:sz="0" w:space="0" w:color="auto"/>
      </w:divBdr>
    </w:div>
    <w:div w:id="1696073570">
      <w:bodyDiv w:val="1"/>
      <w:marLeft w:val="0"/>
      <w:marRight w:val="0"/>
      <w:marTop w:val="0"/>
      <w:marBottom w:val="0"/>
      <w:divBdr>
        <w:top w:val="none" w:sz="0" w:space="0" w:color="auto"/>
        <w:left w:val="none" w:sz="0" w:space="0" w:color="auto"/>
        <w:bottom w:val="none" w:sz="0" w:space="0" w:color="auto"/>
        <w:right w:val="none" w:sz="0" w:space="0" w:color="auto"/>
      </w:divBdr>
    </w:div>
    <w:div w:id="1700399911">
      <w:bodyDiv w:val="1"/>
      <w:marLeft w:val="0"/>
      <w:marRight w:val="0"/>
      <w:marTop w:val="0"/>
      <w:marBottom w:val="0"/>
      <w:divBdr>
        <w:top w:val="none" w:sz="0" w:space="0" w:color="auto"/>
        <w:left w:val="none" w:sz="0" w:space="0" w:color="auto"/>
        <w:bottom w:val="none" w:sz="0" w:space="0" w:color="auto"/>
        <w:right w:val="none" w:sz="0" w:space="0" w:color="auto"/>
      </w:divBdr>
    </w:div>
    <w:div w:id="1718696612">
      <w:bodyDiv w:val="1"/>
      <w:marLeft w:val="0"/>
      <w:marRight w:val="0"/>
      <w:marTop w:val="0"/>
      <w:marBottom w:val="0"/>
      <w:divBdr>
        <w:top w:val="none" w:sz="0" w:space="0" w:color="auto"/>
        <w:left w:val="none" w:sz="0" w:space="0" w:color="auto"/>
        <w:bottom w:val="none" w:sz="0" w:space="0" w:color="auto"/>
        <w:right w:val="none" w:sz="0" w:space="0" w:color="auto"/>
      </w:divBdr>
    </w:div>
    <w:div w:id="1730572043">
      <w:bodyDiv w:val="1"/>
      <w:marLeft w:val="0"/>
      <w:marRight w:val="0"/>
      <w:marTop w:val="0"/>
      <w:marBottom w:val="0"/>
      <w:divBdr>
        <w:top w:val="none" w:sz="0" w:space="0" w:color="auto"/>
        <w:left w:val="none" w:sz="0" w:space="0" w:color="auto"/>
        <w:bottom w:val="none" w:sz="0" w:space="0" w:color="auto"/>
        <w:right w:val="none" w:sz="0" w:space="0" w:color="auto"/>
      </w:divBdr>
    </w:div>
    <w:div w:id="1737582114">
      <w:bodyDiv w:val="1"/>
      <w:marLeft w:val="0"/>
      <w:marRight w:val="0"/>
      <w:marTop w:val="0"/>
      <w:marBottom w:val="0"/>
      <w:divBdr>
        <w:top w:val="none" w:sz="0" w:space="0" w:color="auto"/>
        <w:left w:val="none" w:sz="0" w:space="0" w:color="auto"/>
        <w:bottom w:val="none" w:sz="0" w:space="0" w:color="auto"/>
        <w:right w:val="none" w:sz="0" w:space="0" w:color="auto"/>
      </w:divBdr>
    </w:div>
    <w:div w:id="1749843791">
      <w:bodyDiv w:val="1"/>
      <w:marLeft w:val="0"/>
      <w:marRight w:val="0"/>
      <w:marTop w:val="0"/>
      <w:marBottom w:val="0"/>
      <w:divBdr>
        <w:top w:val="none" w:sz="0" w:space="0" w:color="auto"/>
        <w:left w:val="none" w:sz="0" w:space="0" w:color="auto"/>
        <w:bottom w:val="none" w:sz="0" w:space="0" w:color="auto"/>
        <w:right w:val="none" w:sz="0" w:space="0" w:color="auto"/>
      </w:divBdr>
    </w:div>
    <w:div w:id="1751271094">
      <w:bodyDiv w:val="1"/>
      <w:marLeft w:val="0"/>
      <w:marRight w:val="0"/>
      <w:marTop w:val="0"/>
      <w:marBottom w:val="0"/>
      <w:divBdr>
        <w:top w:val="none" w:sz="0" w:space="0" w:color="auto"/>
        <w:left w:val="none" w:sz="0" w:space="0" w:color="auto"/>
        <w:bottom w:val="none" w:sz="0" w:space="0" w:color="auto"/>
        <w:right w:val="none" w:sz="0" w:space="0" w:color="auto"/>
      </w:divBdr>
    </w:div>
    <w:div w:id="1772041783">
      <w:bodyDiv w:val="1"/>
      <w:marLeft w:val="0"/>
      <w:marRight w:val="0"/>
      <w:marTop w:val="0"/>
      <w:marBottom w:val="0"/>
      <w:divBdr>
        <w:top w:val="none" w:sz="0" w:space="0" w:color="auto"/>
        <w:left w:val="none" w:sz="0" w:space="0" w:color="auto"/>
        <w:bottom w:val="none" w:sz="0" w:space="0" w:color="auto"/>
        <w:right w:val="none" w:sz="0" w:space="0" w:color="auto"/>
      </w:divBdr>
    </w:div>
    <w:div w:id="1774205918">
      <w:bodyDiv w:val="1"/>
      <w:marLeft w:val="0"/>
      <w:marRight w:val="0"/>
      <w:marTop w:val="0"/>
      <w:marBottom w:val="0"/>
      <w:divBdr>
        <w:top w:val="none" w:sz="0" w:space="0" w:color="auto"/>
        <w:left w:val="none" w:sz="0" w:space="0" w:color="auto"/>
        <w:bottom w:val="none" w:sz="0" w:space="0" w:color="auto"/>
        <w:right w:val="none" w:sz="0" w:space="0" w:color="auto"/>
      </w:divBdr>
    </w:div>
    <w:div w:id="1779792121">
      <w:bodyDiv w:val="1"/>
      <w:marLeft w:val="0"/>
      <w:marRight w:val="0"/>
      <w:marTop w:val="0"/>
      <w:marBottom w:val="0"/>
      <w:divBdr>
        <w:top w:val="none" w:sz="0" w:space="0" w:color="auto"/>
        <w:left w:val="none" w:sz="0" w:space="0" w:color="auto"/>
        <w:bottom w:val="none" w:sz="0" w:space="0" w:color="auto"/>
        <w:right w:val="none" w:sz="0" w:space="0" w:color="auto"/>
      </w:divBdr>
    </w:div>
    <w:div w:id="1781872850">
      <w:bodyDiv w:val="1"/>
      <w:marLeft w:val="0"/>
      <w:marRight w:val="0"/>
      <w:marTop w:val="0"/>
      <w:marBottom w:val="0"/>
      <w:divBdr>
        <w:top w:val="none" w:sz="0" w:space="0" w:color="auto"/>
        <w:left w:val="none" w:sz="0" w:space="0" w:color="auto"/>
        <w:bottom w:val="none" w:sz="0" w:space="0" w:color="auto"/>
        <w:right w:val="none" w:sz="0" w:space="0" w:color="auto"/>
      </w:divBdr>
    </w:div>
    <w:div w:id="1809199197">
      <w:bodyDiv w:val="1"/>
      <w:marLeft w:val="0"/>
      <w:marRight w:val="0"/>
      <w:marTop w:val="0"/>
      <w:marBottom w:val="0"/>
      <w:divBdr>
        <w:top w:val="none" w:sz="0" w:space="0" w:color="auto"/>
        <w:left w:val="none" w:sz="0" w:space="0" w:color="auto"/>
        <w:bottom w:val="none" w:sz="0" w:space="0" w:color="auto"/>
        <w:right w:val="none" w:sz="0" w:space="0" w:color="auto"/>
      </w:divBdr>
    </w:div>
    <w:div w:id="1810397961">
      <w:bodyDiv w:val="1"/>
      <w:marLeft w:val="0"/>
      <w:marRight w:val="0"/>
      <w:marTop w:val="0"/>
      <w:marBottom w:val="0"/>
      <w:divBdr>
        <w:top w:val="none" w:sz="0" w:space="0" w:color="auto"/>
        <w:left w:val="none" w:sz="0" w:space="0" w:color="auto"/>
        <w:bottom w:val="none" w:sz="0" w:space="0" w:color="auto"/>
        <w:right w:val="none" w:sz="0" w:space="0" w:color="auto"/>
      </w:divBdr>
    </w:div>
    <w:div w:id="1838156695">
      <w:bodyDiv w:val="1"/>
      <w:marLeft w:val="0"/>
      <w:marRight w:val="0"/>
      <w:marTop w:val="0"/>
      <w:marBottom w:val="0"/>
      <w:divBdr>
        <w:top w:val="none" w:sz="0" w:space="0" w:color="auto"/>
        <w:left w:val="none" w:sz="0" w:space="0" w:color="auto"/>
        <w:bottom w:val="none" w:sz="0" w:space="0" w:color="auto"/>
        <w:right w:val="none" w:sz="0" w:space="0" w:color="auto"/>
      </w:divBdr>
    </w:div>
    <w:div w:id="1873178697">
      <w:bodyDiv w:val="1"/>
      <w:marLeft w:val="0"/>
      <w:marRight w:val="0"/>
      <w:marTop w:val="0"/>
      <w:marBottom w:val="0"/>
      <w:divBdr>
        <w:top w:val="none" w:sz="0" w:space="0" w:color="auto"/>
        <w:left w:val="none" w:sz="0" w:space="0" w:color="auto"/>
        <w:bottom w:val="none" w:sz="0" w:space="0" w:color="auto"/>
        <w:right w:val="none" w:sz="0" w:space="0" w:color="auto"/>
      </w:divBdr>
    </w:div>
    <w:div w:id="1888369257">
      <w:bodyDiv w:val="1"/>
      <w:marLeft w:val="0"/>
      <w:marRight w:val="0"/>
      <w:marTop w:val="0"/>
      <w:marBottom w:val="0"/>
      <w:divBdr>
        <w:top w:val="none" w:sz="0" w:space="0" w:color="auto"/>
        <w:left w:val="none" w:sz="0" w:space="0" w:color="auto"/>
        <w:bottom w:val="none" w:sz="0" w:space="0" w:color="auto"/>
        <w:right w:val="none" w:sz="0" w:space="0" w:color="auto"/>
      </w:divBdr>
    </w:div>
    <w:div w:id="1889410230">
      <w:bodyDiv w:val="1"/>
      <w:marLeft w:val="0"/>
      <w:marRight w:val="0"/>
      <w:marTop w:val="0"/>
      <w:marBottom w:val="0"/>
      <w:divBdr>
        <w:top w:val="none" w:sz="0" w:space="0" w:color="auto"/>
        <w:left w:val="none" w:sz="0" w:space="0" w:color="auto"/>
        <w:bottom w:val="none" w:sz="0" w:space="0" w:color="auto"/>
        <w:right w:val="none" w:sz="0" w:space="0" w:color="auto"/>
      </w:divBdr>
    </w:div>
    <w:div w:id="1891770486">
      <w:bodyDiv w:val="1"/>
      <w:marLeft w:val="0"/>
      <w:marRight w:val="0"/>
      <w:marTop w:val="0"/>
      <w:marBottom w:val="0"/>
      <w:divBdr>
        <w:top w:val="none" w:sz="0" w:space="0" w:color="auto"/>
        <w:left w:val="none" w:sz="0" w:space="0" w:color="auto"/>
        <w:bottom w:val="none" w:sz="0" w:space="0" w:color="auto"/>
        <w:right w:val="none" w:sz="0" w:space="0" w:color="auto"/>
      </w:divBdr>
    </w:div>
    <w:div w:id="1922326843">
      <w:bodyDiv w:val="1"/>
      <w:marLeft w:val="0"/>
      <w:marRight w:val="0"/>
      <w:marTop w:val="0"/>
      <w:marBottom w:val="0"/>
      <w:divBdr>
        <w:top w:val="none" w:sz="0" w:space="0" w:color="auto"/>
        <w:left w:val="none" w:sz="0" w:space="0" w:color="auto"/>
        <w:bottom w:val="none" w:sz="0" w:space="0" w:color="auto"/>
        <w:right w:val="none" w:sz="0" w:space="0" w:color="auto"/>
      </w:divBdr>
    </w:div>
    <w:div w:id="1941597703">
      <w:bodyDiv w:val="1"/>
      <w:marLeft w:val="0"/>
      <w:marRight w:val="0"/>
      <w:marTop w:val="0"/>
      <w:marBottom w:val="0"/>
      <w:divBdr>
        <w:top w:val="none" w:sz="0" w:space="0" w:color="auto"/>
        <w:left w:val="none" w:sz="0" w:space="0" w:color="auto"/>
        <w:bottom w:val="none" w:sz="0" w:space="0" w:color="auto"/>
        <w:right w:val="none" w:sz="0" w:space="0" w:color="auto"/>
      </w:divBdr>
    </w:div>
    <w:div w:id="1957636514">
      <w:bodyDiv w:val="1"/>
      <w:marLeft w:val="0"/>
      <w:marRight w:val="0"/>
      <w:marTop w:val="0"/>
      <w:marBottom w:val="0"/>
      <w:divBdr>
        <w:top w:val="none" w:sz="0" w:space="0" w:color="auto"/>
        <w:left w:val="none" w:sz="0" w:space="0" w:color="auto"/>
        <w:bottom w:val="none" w:sz="0" w:space="0" w:color="auto"/>
        <w:right w:val="none" w:sz="0" w:space="0" w:color="auto"/>
      </w:divBdr>
    </w:div>
    <w:div w:id="1959677501">
      <w:bodyDiv w:val="1"/>
      <w:marLeft w:val="0"/>
      <w:marRight w:val="0"/>
      <w:marTop w:val="0"/>
      <w:marBottom w:val="0"/>
      <w:divBdr>
        <w:top w:val="none" w:sz="0" w:space="0" w:color="auto"/>
        <w:left w:val="none" w:sz="0" w:space="0" w:color="auto"/>
        <w:bottom w:val="none" w:sz="0" w:space="0" w:color="auto"/>
        <w:right w:val="none" w:sz="0" w:space="0" w:color="auto"/>
      </w:divBdr>
    </w:div>
    <w:div w:id="1989165936">
      <w:bodyDiv w:val="1"/>
      <w:marLeft w:val="0"/>
      <w:marRight w:val="0"/>
      <w:marTop w:val="0"/>
      <w:marBottom w:val="0"/>
      <w:divBdr>
        <w:top w:val="none" w:sz="0" w:space="0" w:color="auto"/>
        <w:left w:val="none" w:sz="0" w:space="0" w:color="auto"/>
        <w:bottom w:val="none" w:sz="0" w:space="0" w:color="auto"/>
        <w:right w:val="none" w:sz="0" w:space="0" w:color="auto"/>
      </w:divBdr>
    </w:div>
    <w:div w:id="2004776582">
      <w:bodyDiv w:val="1"/>
      <w:marLeft w:val="0"/>
      <w:marRight w:val="0"/>
      <w:marTop w:val="0"/>
      <w:marBottom w:val="0"/>
      <w:divBdr>
        <w:top w:val="none" w:sz="0" w:space="0" w:color="auto"/>
        <w:left w:val="none" w:sz="0" w:space="0" w:color="auto"/>
        <w:bottom w:val="none" w:sz="0" w:space="0" w:color="auto"/>
        <w:right w:val="none" w:sz="0" w:space="0" w:color="auto"/>
      </w:divBdr>
    </w:div>
    <w:div w:id="2022272701">
      <w:bodyDiv w:val="1"/>
      <w:marLeft w:val="0"/>
      <w:marRight w:val="0"/>
      <w:marTop w:val="0"/>
      <w:marBottom w:val="0"/>
      <w:divBdr>
        <w:top w:val="none" w:sz="0" w:space="0" w:color="auto"/>
        <w:left w:val="none" w:sz="0" w:space="0" w:color="auto"/>
        <w:bottom w:val="none" w:sz="0" w:space="0" w:color="auto"/>
        <w:right w:val="none" w:sz="0" w:space="0" w:color="auto"/>
      </w:divBdr>
      <w:divsChild>
        <w:div w:id="527178076">
          <w:marLeft w:val="0"/>
          <w:marRight w:val="0"/>
          <w:marTop w:val="0"/>
          <w:marBottom w:val="0"/>
          <w:divBdr>
            <w:top w:val="none" w:sz="0" w:space="0" w:color="auto"/>
            <w:left w:val="none" w:sz="0" w:space="0" w:color="auto"/>
            <w:bottom w:val="none" w:sz="0" w:space="0" w:color="auto"/>
            <w:right w:val="none" w:sz="0" w:space="0" w:color="auto"/>
          </w:divBdr>
          <w:divsChild>
            <w:div w:id="425734924">
              <w:marLeft w:val="0"/>
              <w:marRight w:val="0"/>
              <w:marTop w:val="0"/>
              <w:marBottom w:val="0"/>
              <w:divBdr>
                <w:top w:val="none" w:sz="0" w:space="0" w:color="auto"/>
                <w:left w:val="none" w:sz="0" w:space="0" w:color="auto"/>
                <w:bottom w:val="none" w:sz="0" w:space="0" w:color="auto"/>
                <w:right w:val="none" w:sz="0" w:space="0" w:color="auto"/>
              </w:divBdr>
            </w:div>
            <w:div w:id="1960063656">
              <w:marLeft w:val="0"/>
              <w:marRight w:val="0"/>
              <w:marTop w:val="0"/>
              <w:marBottom w:val="0"/>
              <w:divBdr>
                <w:top w:val="none" w:sz="0" w:space="0" w:color="auto"/>
                <w:left w:val="none" w:sz="0" w:space="0" w:color="auto"/>
                <w:bottom w:val="none" w:sz="0" w:space="0" w:color="auto"/>
                <w:right w:val="none" w:sz="0" w:space="0" w:color="auto"/>
              </w:divBdr>
            </w:div>
            <w:div w:id="1966345810">
              <w:marLeft w:val="0"/>
              <w:marRight w:val="0"/>
              <w:marTop w:val="0"/>
              <w:marBottom w:val="0"/>
              <w:divBdr>
                <w:top w:val="none" w:sz="0" w:space="0" w:color="auto"/>
                <w:left w:val="none" w:sz="0" w:space="0" w:color="auto"/>
                <w:bottom w:val="none" w:sz="0" w:space="0" w:color="auto"/>
                <w:right w:val="none" w:sz="0" w:space="0" w:color="auto"/>
              </w:divBdr>
            </w:div>
            <w:div w:id="1913395543">
              <w:marLeft w:val="0"/>
              <w:marRight w:val="0"/>
              <w:marTop w:val="0"/>
              <w:marBottom w:val="0"/>
              <w:divBdr>
                <w:top w:val="none" w:sz="0" w:space="0" w:color="auto"/>
                <w:left w:val="none" w:sz="0" w:space="0" w:color="auto"/>
                <w:bottom w:val="none" w:sz="0" w:space="0" w:color="auto"/>
                <w:right w:val="none" w:sz="0" w:space="0" w:color="auto"/>
              </w:divBdr>
            </w:div>
            <w:div w:id="1026564033">
              <w:marLeft w:val="0"/>
              <w:marRight w:val="0"/>
              <w:marTop w:val="0"/>
              <w:marBottom w:val="0"/>
              <w:divBdr>
                <w:top w:val="none" w:sz="0" w:space="0" w:color="auto"/>
                <w:left w:val="none" w:sz="0" w:space="0" w:color="auto"/>
                <w:bottom w:val="none" w:sz="0" w:space="0" w:color="auto"/>
                <w:right w:val="none" w:sz="0" w:space="0" w:color="auto"/>
              </w:divBdr>
            </w:div>
            <w:div w:id="865560744">
              <w:marLeft w:val="0"/>
              <w:marRight w:val="0"/>
              <w:marTop w:val="0"/>
              <w:marBottom w:val="0"/>
              <w:divBdr>
                <w:top w:val="none" w:sz="0" w:space="0" w:color="auto"/>
                <w:left w:val="none" w:sz="0" w:space="0" w:color="auto"/>
                <w:bottom w:val="none" w:sz="0" w:space="0" w:color="auto"/>
                <w:right w:val="none" w:sz="0" w:space="0" w:color="auto"/>
              </w:divBdr>
            </w:div>
            <w:div w:id="392969675">
              <w:marLeft w:val="0"/>
              <w:marRight w:val="0"/>
              <w:marTop w:val="0"/>
              <w:marBottom w:val="0"/>
              <w:divBdr>
                <w:top w:val="none" w:sz="0" w:space="0" w:color="auto"/>
                <w:left w:val="none" w:sz="0" w:space="0" w:color="auto"/>
                <w:bottom w:val="none" w:sz="0" w:space="0" w:color="auto"/>
                <w:right w:val="none" w:sz="0" w:space="0" w:color="auto"/>
              </w:divBdr>
            </w:div>
            <w:div w:id="715011004">
              <w:marLeft w:val="0"/>
              <w:marRight w:val="0"/>
              <w:marTop w:val="0"/>
              <w:marBottom w:val="0"/>
              <w:divBdr>
                <w:top w:val="none" w:sz="0" w:space="0" w:color="auto"/>
                <w:left w:val="none" w:sz="0" w:space="0" w:color="auto"/>
                <w:bottom w:val="none" w:sz="0" w:space="0" w:color="auto"/>
                <w:right w:val="none" w:sz="0" w:space="0" w:color="auto"/>
              </w:divBdr>
            </w:div>
            <w:div w:id="1105421063">
              <w:marLeft w:val="0"/>
              <w:marRight w:val="0"/>
              <w:marTop w:val="0"/>
              <w:marBottom w:val="0"/>
              <w:divBdr>
                <w:top w:val="none" w:sz="0" w:space="0" w:color="auto"/>
                <w:left w:val="none" w:sz="0" w:space="0" w:color="auto"/>
                <w:bottom w:val="none" w:sz="0" w:space="0" w:color="auto"/>
                <w:right w:val="none" w:sz="0" w:space="0" w:color="auto"/>
              </w:divBdr>
            </w:div>
            <w:div w:id="387924260">
              <w:marLeft w:val="0"/>
              <w:marRight w:val="0"/>
              <w:marTop w:val="0"/>
              <w:marBottom w:val="0"/>
              <w:divBdr>
                <w:top w:val="none" w:sz="0" w:space="0" w:color="auto"/>
                <w:left w:val="none" w:sz="0" w:space="0" w:color="auto"/>
                <w:bottom w:val="none" w:sz="0" w:space="0" w:color="auto"/>
                <w:right w:val="none" w:sz="0" w:space="0" w:color="auto"/>
              </w:divBdr>
            </w:div>
            <w:div w:id="804004594">
              <w:marLeft w:val="0"/>
              <w:marRight w:val="0"/>
              <w:marTop w:val="0"/>
              <w:marBottom w:val="0"/>
              <w:divBdr>
                <w:top w:val="none" w:sz="0" w:space="0" w:color="auto"/>
                <w:left w:val="none" w:sz="0" w:space="0" w:color="auto"/>
                <w:bottom w:val="none" w:sz="0" w:space="0" w:color="auto"/>
                <w:right w:val="none" w:sz="0" w:space="0" w:color="auto"/>
              </w:divBdr>
            </w:div>
            <w:div w:id="510025100">
              <w:marLeft w:val="0"/>
              <w:marRight w:val="0"/>
              <w:marTop w:val="0"/>
              <w:marBottom w:val="0"/>
              <w:divBdr>
                <w:top w:val="none" w:sz="0" w:space="0" w:color="auto"/>
                <w:left w:val="none" w:sz="0" w:space="0" w:color="auto"/>
                <w:bottom w:val="none" w:sz="0" w:space="0" w:color="auto"/>
                <w:right w:val="none" w:sz="0" w:space="0" w:color="auto"/>
              </w:divBdr>
            </w:div>
            <w:div w:id="1902670502">
              <w:marLeft w:val="0"/>
              <w:marRight w:val="0"/>
              <w:marTop w:val="0"/>
              <w:marBottom w:val="0"/>
              <w:divBdr>
                <w:top w:val="none" w:sz="0" w:space="0" w:color="auto"/>
                <w:left w:val="none" w:sz="0" w:space="0" w:color="auto"/>
                <w:bottom w:val="none" w:sz="0" w:space="0" w:color="auto"/>
                <w:right w:val="none" w:sz="0" w:space="0" w:color="auto"/>
              </w:divBdr>
            </w:div>
            <w:div w:id="2117871904">
              <w:marLeft w:val="0"/>
              <w:marRight w:val="0"/>
              <w:marTop w:val="0"/>
              <w:marBottom w:val="0"/>
              <w:divBdr>
                <w:top w:val="none" w:sz="0" w:space="0" w:color="auto"/>
                <w:left w:val="none" w:sz="0" w:space="0" w:color="auto"/>
                <w:bottom w:val="none" w:sz="0" w:space="0" w:color="auto"/>
                <w:right w:val="none" w:sz="0" w:space="0" w:color="auto"/>
              </w:divBdr>
            </w:div>
            <w:div w:id="1209876708">
              <w:marLeft w:val="0"/>
              <w:marRight w:val="0"/>
              <w:marTop w:val="0"/>
              <w:marBottom w:val="0"/>
              <w:divBdr>
                <w:top w:val="none" w:sz="0" w:space="0" w:color="auto"/>
                <w:left w:val="none" w:sz="0" w:space="0" w:color="auto"/>
                <w:bottom w:val="none" w:sz="0" w:space="0" w:color="auto"/>
                <w:right w:val="none" w:sz="0" w:space="0" w:color="auto"/>
              </w:divBdr>
            </w:div>
            <w:div w:id="1951470412">
              <w:marLeft w:val="0"/>
              <w:marRight w:val="0"/>
              <w:marTop w:val="0"/>
              <w:marBottom w:val="0"/>
              <w:divBdr>
                <w:top w:val="none" w:sz="0" w:space="0" w:color="auto"/>
                <w:left w:val="none" w:sz="0" w:space="0" w:color="auto"/>
                <w:bottom w:val="none" w:sz="0" w:space="0" w:color="auto"/>
                <w:right w:val="none" w:sz="0" w:space="0" w:color="auto"/>
              </w:divBdr>
            </w:div>
            <w:div w:id="1539050950">
              <w:marLeft w:val="0"/>
              <w:marRight w:val="0"/>
              <w:marTop w:val="0"/>
              <w:marBottom w:val="0"/>
              <w:divBdr>
                <w:top w:val="none" w:sz="0" w:space="0" w:color="auto"/>
                <w:left w:val="none" w:sz="0" w:space="0" w:color="auto"/>
                <w:bottom w:val="none" w:sz="0" w:space="0" w:color="auto"/>
                <w:right w:val="none" w:sz="0" w:space="0" w:color="auto"/>
              </w:divBdr>
            </w:div>
            <w:div w:id="2065595178">
              <w:marLeft w:val="0"/>
              <w:marRight w:val="0"/>
              <w:marTop w:val="0"/>
              <w:marBottom w:val="0"/>
              <w:divBdr>
                <w:top w:val="none" w:sz="0" w:space="0" w:color="auto"/>
                <w:left w:val="none" w:sz="0" w:space="0" w:color="auto"/>
                <w:bottom w:val="none" w:sz="0" w:space="0" w:color="auto"/>
                <w:right w:val="none" w:sz="0" w:space="0" w:color="auto"/>
              </w:divBdr>
            </w:div>
            <w:div w:id="336807497">
              <w:marLeft w:val="0"/>
              <w:marRight w:val="0"/>
              <w:marTop w:val="0"/>
              <w:marBottom w:val="0"/>
              <w:divBdr>
                <w:top w:val="none" w:sz="0" w:space="0" w:color="auto"/>
                <w:left w:val="none" w:sz="0" w:space="0" w:color="auto"/>
                <w:bottom w:val="none" w:sz="0" w:space="0" w:color="auto"/>
                <w:right w:val="none" w:sz="0" w:space="0" w:color="auto"/>
              </w:divBdr>
            </w:div>
            <w:div w:id="1964187806">
              <w:marLeft w:val="0"/>
              <w:marRight w:val="0"/>
              <w:marTop w:val="0"/>
              <w:marBottom w:val="0"/>
              <w:divBdr>
                <w:top w:val="none" w:sz="0" w:space="0" w:color="auto"/>
                <w:left w:val="none" w:sz="0" w:space="0" w:color="auto"/>
                <w:bottom w:val="none" w:sz="0" w:space="0" w:color="auto"/>
                <w:right w:val="none" w:sz="0" w:space="0" w:color="auto"/>
              </w:divBdr>
            </w:div>
            <w:div w:id="1684090077">
              <w:marLeft w:val="0"/>
              <w:marRight w:val="0"/>
              <w:marTop w:val="0"/>
              <w:marBottom w:val="0"/>
              <w:divBdr>
                <w:top w:val="none" w:sz="0" w:space="0" w:color="auto"/>
                <w:left w:val="none" w:sz="0" w:space="0" w:color="auto"/>
                <w:bottom w:val="none" w:sz="0" w:space="0" w:color="auto"/>
                <w:right w:val="none" w:sz="0" w:space="0" w:color="auto"/>
              </w:divBdr>
            </w:div>
            <w:div w:id="884878237">
              <w:marLeft w:val="0"/>
              <w:marRight w:val="0"/>
              <w:marTop w:val="0"/>
              <w:marBottom w:val="0"/>
              <w:divBdr>
                <w:top w:val="none" w:sz="0" w:space="0" w:color="auto"/>
                <w:left w:val="none" w:sz="0" w:space="0" w:color="auto"/>
                <w:bottom w:val="none" w:sz="0" w:space="0" w:color="auto"/>
                <w:right w:val="none" w:sz="0" w:space="0" w:color="auto"/>
              </w:divBdr>
            </w:div>
            <w:div w:id="863713713">
              <w:marLeft w:val="0"/>
              <w:marRight w:val="0"/>
              <w:marTop w:val="0"/>
              <w:marBottom w:val="0"/>
              <w:divBdr>
                <w:top w:val="none" w:sz="0" w:space="0" w:color="auto"/>
                <w:left w:val="none" w:sz="0" w:space="0" w:color="auto"/>
                <w:bottom w:val="none" w:sz="0" w:space="0" w:color="auto"/>
                <w:right w:val="none" w:sz="0" w:space="0" w:color="auto"/>
              </w:divBdr>
            </w:div>
            <w:div w:id="1552813529">
              <w:marLeft w:val="0"/>
              <w:marRight w:val="0"/>
              <w:marTop w:val="0"/>
              <w:marBottom w:val="0"/>
              <w:divBdr>
                <w:top w:val="none" w:sz="0" w:space="0" w:color="auto"/>
                <w:left w:val="none" w:sz="0" w:space="0" w:color="auto"/>
                <w:bottom w:val="none" w:sz="0" w:space="0" w:color="auto"/>
                <w:right w:val="none" w:sz="0" w:space="0" w:color="auto"/>
              </w:divBdr>
            </w:div>
            <w:div w:id="1097597840">
              <w:marLeft w:val="0"/>
              <w:marRight w:val="0"/>
              <w:marTop w:val="0"/>
              <w:marBottom w:val="0"/>
              <w:divBdr>
                <w:top w:val="none" w:sz="0" w:space="0" w:color="auto"/>
                <w:left w:val="none" w:sz="0" w:space="0" w:color="auto"/>
                <w:bottom w:val="none" w:sz="0" w:space="0" w:color="auto"/>
                <w:right w:val="none" w:sz="0" w:space="0" w:color="auto"/>
              </w:divBdr>
            </w:div>
            <w:div w:id="1128012775">
              <w:marLeft w:val="0"/>
              <w:marRight w:val="0"/>
              <w:marTop w:val="0"/>
              <w:marBottom w:val="0"/>
              <w:divBdr>
                <w:top w:val="none" w:sz="0" w:space="0" w:color="auto"/>
                <w:left w:val="none" w:sz="0" w:space="0" w:color="auto"/>
                <w:bottom w:val="none" w:sz="0" w:space="0" w:color="auto"/>
                <w:right w:val="none" w:sz="0" w:space="0" w:color="auto"/>
              </w:divBdr>
            </w:div>
            <w:div w:id="232199110">
              <w:marLeft w:val="0"/>
              <w:marRight w:val="0"/>
              <w:marTop w:val="0"/>
              <w:marBottom w:val="0"/>
              <w:divBdr>
                <w:top w:val="none" w:sz="0" w:space="0" w:color="auto"/>
                <w:left w:val="none" w:sz="0" w:space="0" w:color="auto"/>
                <w:bottom w:val="none" w:sz="0" w:space="0" w:color="auto"/>
                <w:right w:val="none" w:sz="0" w:space="0" w:color="auto"/>
              </w:divBdr>
            </w:div>
            <w:div w:id="674379415">
              <w:marLeft w:val="0"/>
              <w:marRight w:val="0"/>
              <w:marTop w:val="0"/>
              <w:marBottom w:val="0"/>
              <w:divBdr>
                <w:top w:val="none" w:sz="0" w:space="0" w:color="auto"/>
                <w:left w:val="none" w:sz="0" w:space="0" w:color="auto"/>
                <w:bottom w:val="none" w:sz="0" w:space="0" w:color="auto"/>
                <w:right w:val="none" w:sz="0" w:space="0" w:color="auto"/>
              </w:divBdr>
            </w:div>
            <w:div w:id="1733698136">
              <w:marLeft w:val="0"/>
              <w:marRight w:val="0"/>
              <w:marTop w:val="0"/>
              <w:marBottom w:val="0"/>
              <w:divBdr>
                <w:top w:val="none" w:sz="0" w:space="0" w:color="auto"/>
                <w:left w:val="none" w:sz="0" w:space="0" w:color="auto"/>
                <w:bottom w:val="none" w:sz="0" w:space="0" w:color="auto"/>
                <w:right w:val="none" w:sz="0" w:space="0" w:color="auto"/>
              </w:divBdr>
            </w:div>
            <w:div w:id="186215430">
              <w:marLeft w:val="0"/>
              <w:marRight w:val="0"/>
              <w:marTop w:val="0"/>
              <w:marBottom w:val="0"/>
              <w:divBdr>
                <w:top w:val="none" w:sz="0" w:space="0" w:color="auto"/>
                <w:left w:val="none" w:sz="0" w:space="0" w:color="auto"/>
                <w:bottom w:val="none" w:sz="0" w:space="0" w:color="auto"/>
                <w:right w:val="none" w:sz="0" w:space="0" w:color="auto"/>
              </w:divBdr>
            </w:div>
            <w:div w:id="1328291900">
              <w:marLeft w:val="0"/>
              <w:marRight w:val="0"/>
              <w:marTop w:val="0"/>
              <w:marBottom w:val="0"/>
              <w:divBdr>
                <w:top w:val="none" w:sz="0" w:space="0" w:color="auto"/>
                <w:left w:val="none" w:sz="0" w:space="0" w:color="auto"/>
                <w:bottom w:val="none" w:sz="0" w:space="0" w:color="auto"/>
                <w:right w:val="none" w:sz="0" w:space="0" w:color="auto"/>
              </w:divBdr>
            </w:div>
            <w:div w:id="1113475853">
              <w:marLeft w:val="0"/>
              <w:marRight w:val="0"/>
              <w:marTop w:val="0"/>
              <w:marBottom w:val="0"/>
              <w:divBdr>
                <w:top w:val="none" w:sz="0" w:space="0" w:color="auto"/>
                <w:left w:val="none" w:sz="0" w:space="0" w:color="auto"/>
                <w:bottom w:val="none" w:sz="0" w:space="0" w:color="auto"/>
                <w:right w:val="none" w:sz="0" w:space="0" w:color="auto"/>
              </w:divBdr>
            </w:div>
            <w:div w:id="1162044376">
              <w:marLeft w:val="0"/>
              <w:marRight w:val="0"/>
              <w:marTop w:val="0"/>
              <w:marBottom w:val="0"/>
              <w:divBdr>
                <w:top w:val="none" w:sz="0" w:space="0" w:color="auto"/>
                <w:left w:val="none" w:sz="0" w:space="0" w:color="auto"/>
                <w:bottom w:val="none" w:sz="0" w:space="0" w:color="auto"/>
                <w:right w:val="none" w:sz="0" w:space="0" w:color="auto"/>
              </w:divBdr>
            </w:div>
            <w:div w:id="2069106280">
              <w:marLeft w:val="0"/>
              <w:marRight w:val="0"/>
              <w:marTop w:val="0"/>
              <w:marBottom w:val="0"/>
              <w:divBdr>
                <w:top w:val="none" w:sz="0" w:space="0" w:color="auto"/>
                <w:left w:val="none" w:sz="0" w:space="0" w:color="auto"/>
                <w:bottom w:val="none" w:sz="0" w:space="0" w:color="auto"/>
                <w:right w:val="none" w:sz="0" w:space="0" w:color="auto"/>
              </w:divBdr>
            </w:div>
            <w:div w:id="1250389371">
              <w:marLeft w:val="0"/>
              <w:marRight w:val="0"/>
              <w:marTop w:val="0"/>
              <w:marBottom w:val="0"/>
              <w:divBdr>
                <w:top w:val="none" w:sz="0" w:space="0" w:color="auto"/>
                <w:left w:val="none" w:sz="0" w:space="0" w:color="auto"/>
                <w:bottom w:val="none" w:sz="0" w:space="0" w:color="auto"/>
                <w:right w:val="none" w:sz="0" w:space="0" w:color="auto"/>
              </w:divBdr>
            </w:div>
            <w:div w:id="852576828">
              <w:marLeft w:val="0"/>
              <w:marRight w:val="0"/>
              <w:marTop w:val="0"/>
              <w:marBottom w:val="0"/>
              <w:divBdr>
                <w:top w:val="none" w:sz="0" w:space="0" w:color="auto"/>
                <w:left w:val="none" w:sz="0" w:space="0" w:color="auto"/>
                <w:bottom w:val="none" w:sz="0" w:space="0" w:color="auto"/>
                <w:right w:val="none" w:sz="0" w:space="0" w:color="auto"/>
              </w:divBdr>
            </w:div>
            <w:div w:id="8109">
              <w:marLeft w:val="0"/>
              <w:marRight w:val="0"/>
              <w:marTop w:val="0"/>
              <w:marBottom w:val="0"/>
              <w:divBdr>
                <w:top w:val="none" w:sz="0" w:space="0" w:color="auto"/>
                <w:left w:val="none" w:sz="0" w:space="0" w:color="auto"/>
                <w:bottom w:val="none" w:sz="0" w:space="0" w:color="auto"/>
                <w:right w:val="none" w:sz="0" w:space="0" w:color="auto"/>
              </w:divBdr>
            </w:div>
            <w:div w:id="1058355557">
              <w:marLeft w:val="0"/>
              <w:marRight w:val="0"/>
              <w:marTop w:val="0"/>
              <w:marBottom w:val="0"/>
              <w:divBdr>
                <w:top w:val="none" w:sz="0" w:space="0" w:color="auto"/>
                <w:left w:val="none" w:sz="0" w:space="0" w:color="auto"/>
                <w:bottom w:val="none" w:sz="0" w:space="0" w:color="auto"/>
                <w:right w:val="none" w:sz="0" w:space="0" w:color="auto"/>
              </w:divBdr>
            </w:div>
            <w:div w:id="1571428216">
              <w:marLeft w:val="0"/>
              <w:marRight w:val="0"/>
              <w:marTop w:val="0"/>
              <w:marBottom w:val="0"/>
              <w:divBdr>
                <w:top w:val="none" w:sz="0" w:space="0" w:color="auto"/>
                <w:left w:val="none" w:sz="0" w:space="0" w:color="auto"/>
                <w:bottom w:val="none" w:sz="0" w:space="0" w:color="auto"/>
                <w:right w:val="none" w:sz="0" w:space="0" w:color="auto"/>
              </w:divBdr>
            </w:div>
            <w:div w:id="1819371975">
              <w:marLeft w:val="0"/>
              <w:marRight w:val="0"/>
              <w:marTop w:val="0"/>
              <w:marBottom w:val="0"/>
              <w:divBdr>
                <w:top w:val="none" w:sz="0" w:space="0" w:color="auto"/>
                <w:left w:val="none" w:sz="0" w:space="0" w:color="auto"/>
                <w:bottom w:val="none" w:sz="0" w:space="0" w:color="auto"/>
                <w:right w:val="none" w:sz="0" w:space="0" w:color="auto"/>
              </w:divBdr>
            </w:div>
            <w:div w:id="409742208">
              <w:marLeft w:val="0"/>
              <w:marRight w:val="0"/>
              <w:marTop w:val="0"/>
              <w:marBottom w:val="0"/>
              <w:divBdr>
                <w:top w:val="none" w:sz="0" w:space="0" w:color="auto"/>
                <w:left w:val="none" w:sz="0" w:space="0" w:color="auto"/>
                <w:bottom w:val="none" w:sz="0" w:space="0" w:color="auto"/>
                <w:right w:val="none" w:sz="0" w:space="0" w:color="auto"/>
              </w:divBdr>
            </w:div>
            <w:div w:id="1663851035">
              <w:marLeft w:val="0"/>
              <w:marRight w:val="0"/>
              <w:marTop w:val="0"/>
              <w:marBottom w:val="0"/>
              <w:divBdr>
                <w:top w:val="none" w:sz="0" w:space="0" w:color="auto"/>
                <w:left w:val="none" w:sz="0" w:space="0" w:color="auto"/>
                <w:bottom w:val="none" w:sz="0" w:space="0" w:color="auto"/>
                <w:right w:val="none" w:sz="0" w:space="0" w:color="auto"/>
              </w:divBdr>
            </w:div>
            <w:div w:id="1906259539">
              <w:marLeft w:val="0"/>
              <w:marRight w:val="0"/>
              <w:marTop w:val="0"/>
              <w:marBottom w:val="0"/>
              <w:divBdr>
                <w:top w:val="none" w:sz="0" w:space="0" w:color="auto"/>
                <w:left w:val="none" w:sz="0" w:space="0" w:color="auto"/>
                <w:bottom w:val="none" w:sz="0" w:space="0" w:color="auto"/>
                <w:right w:val="none" w:sz="0" w:space="0" w:color="auto"/>
              </w:divBdr>
            </w:div>
            <w:div w:id="785270032">
              <w:marLeft w:val="0"/>
              <w:marRight w:val="0"/>
              <w:marTop w:val="0"/>
              <w:marBottom w:val="0"/>
              <w:divBdr>
                <w:top w:val="none" w:sz="0" w:space="0" w:color="auto"/>
                <w:left w:val="none" w:sz="0" w:space="0" w:color="auto"/>
                <w:bottom w:val="none" w:sz="0" w:space="0" w:color="auto"/>
                <w:right w:val="none" w:sz="0" w:space="0" w:color="auto"/>
              </w:divBdr>
            </w:div>
            <w:div w:id="31269701">
              <w:marLeft w:val="0"/>
              <w:marRight w:val="0"/>
              <w:marTop w:val="0"/>
              <w:marBottom w:val="0"/>
              <w:divBdr>
                <w:top w:val="none" w:sz="0" w:space="0" w:color="auto"/>
                <w:left w:val="none" w:sz="0" w:space="0" w:color="auto"/>
                <w:bottom w:val="none" w:sz="0" w:space="0" w:color="auto"/>
                <w:right w:val="none" w:sz="0" w:space="0" w:color="auto"/>
              </w:divBdr>
            </w:div>
            <w:div w:id="340864694">
              <w:marLeft w:val="0"/>
              <w:marRight w:val="0"/>
              <w:marTop w:val="0"/>
              <w:marBottom w:val="0"/>
              <w:divBdr>
                <w:top w:val="none" w:sz="0" w:space="0" w:color="auto"/>
                <w:left w:val="none" w:sz="0" w:space="0" w:color="auto"/>
                <w:bottom w:val="none" w:sz="0" w:space="0" w:color="auto"/>
                <w:right w:val="none" w:sz="0" w:space="0" w:color="auto"/>
              </w:divBdr>
            </w:div>
            <w:div w:id="477233428">
              <w:marLeft w:val="0"/>
              <w:marRight w:val="0"/>
              <w:marTop w:val="0"/>
              <w:marBottom w:val="0"/>
              <w:divBdr>
                <w:top w:val="none" w:sz="0" w:space="0" w:color="auto"/>
                <w:left w:val="none" w:sz="0" w:space="0" w:color="auto"/>
                <w:bottom w:val="none" w:sz="0" w:space="0" w:color="auto"/>
                <w:right w:val="none" w:sz="0" w:space="0" w:color="auto"/>
              </w:divBdr>
            </w:div>
            <w:div w:id="1693455288">
              <w:marLeft w:val="0"/>
              <w:marRight w:val="0"/>
              <w:marTop w:val="0"/>
              <w:marBottom w:val="0"/>
              <w:divBdr>
                <w:top w:val="none" w:sz="0" w:space="0" w:color="auto"/>
                <w:left w:val="none" w:sz="0" w:space="0" w:color="auto"/>
                <w:bottom w:val="none" w:sz="0" w:space="0" w:color="auto"/>
                <w:right w:val="none" w:sz="0" w:space="0" w:color="auto"/>
              </w:divBdr>
            </w:div>
            <w:div w:id="28537276">
              <w:marLeft w:val="0"/>
              <w:marRight w:val="0"/>
              <w:marTop w:val="0"/>
              <w:marBottom w:val="0"/>
              <w:divBdr>
                <w:top w:val="none" w:sz="0" w:space="0" w:color="auto"/>
                <w:left w:val="none" w:sz="0" w:space="0" w:color="auto"/>
                <w:bottom w:val="none" w:sz="0" w:space="0" w:color="auto"/>
                <w:right w:val="none" w:sz="0" w:space="0" w:color="auto"/>
              </w:divBdr>
            </w:div>
            <w:div w:id="1521045646">
              <w:marLeft w:val="0"/>
              <w:marRight w:val="0"/>
              <w:marTop w:val="0"/>
              <w:marBottom w:val="0"/>
              <w:divBdr>
                <w:top w:val="none" w:sz="0" w:space="0" w:color="auto"/>
                <w:left w:val="none" w:sz="0" w:space="0" w:color="auto"/>
                <w:bottom w:val="none" w:sz="0" w:space="0" w:color="auto"/>
                <w:right w:val="none" w:sz="0" w:space="0" w:color="auto"/>
              </w:divBdr>
            </w:div>
            <w:div w:id="1813714090">
              <w:marLeft w:val="0"/>
              <w:marRight w:val="0"/>
              <w:marTop w:val="0"/>
              <w:marBottom w:val="0"/>
              <w:divBdr>
                <w:top w:val="none" w:sz="0" w:space="0" w:color="auto"/>
                <w:left w:val="none" w:sz="0" w:space="0" w:color="auto"/>
                <w:bottom w:val="none" w:sz="0" w:space="0" w:color="auto"/>
                <w:right w:val="none" w:sz="0" w:space="0" w:color="auto"/>
              </w:divBdr>
            </w:div>
            <w:div w:id="1239753930">
              <w:marLeft w:val="0"/>
              <w:marRight w:val="0"/>
              <w:marTop w:val="0"/>
              <w:marBottom w:val="0"/>
              <w:divBdr>
                <w:top w:val="none" w:sz="0" w:space="0" w:color="auto"/>
                <w:left w:val="none" w:sz="0" w:space="0" w:color="auto"/>
                <w:bottom w:val="none" w:sz="0" w:space="0" w:color="auto"/>
                <w:right w:val="none" w:sz="0" w:space="0" w:color="auto"/>
              </w:divBdr>
            </w:div>
            <w:div w:id="2045908815">
              <w:marLeft w:val="0"/>
              <w:marRight w:val="0"/>
              <w:marTop w:val="0"/>
              <w:marBottom w:val="0"/>
              <w:divBdr>
                <w:top w:val="none" w:sz="0" w:space="0" w:color="auto"/>
                <w:left w:val="none" w:sz="0" w:space="0" w:color="auto"/>
                <w:bottom w:val="none" w:sz="0" w:space="0" w:color="auto"/>
                <w:right w:val="none" w:sz="0" w:space="0" w:color="auto"/>
              </w:divBdr>
            </w:div>
            <w:div w:id="1257785857">
              <w:marLeft w:val="0"/>
              <w:marRight w:val="0"/>
              <w:marTop w:val="0"/>
              <w:marBottom w:val="0"/>
              <w:divBdr>
                <w:top w:val="none" w:sz="0" w:space="0" w:color="auto"/>
                <w:left w:val="none" w:sz="0" w:space="0" w:color="auto"/>
                <w:bottom w:val="none" w:sz="0" w:space="0" w:color="auto"/>
                <w:right w:val="none" w:sz="0" w:space="0" w:color="auto"/>
              </w:divBdr>
            </w:div>
            <w:div w:id="335692970">
              <w:marLeft w:val="0"/>
              <w:marRight w:val="0"/>
              <w:marTop w:val="0"/>
              <w:marBottom w:val="0"/>
              <w:divBdr>
                <w:top w:val="none" w:sz="0" w:space="0" w:color="auto"/>
                <w:left w:val="none" w:sz="0" w:space="0" w:color="auto"/>
                <w:bottom w:val="none" w:sz="0" w:space="0" w:color="auto"/>
                <w:right w:val="none" w:sz="0" w:space="0" w:color="auto"/>
              </w:divBdr>
            </w:div>
            <w:div w:id="1265725824">
              <w:marLeft w:val="0"/>
              <w:marRight w:val="0"/>
              <w:marTop w:val="0"/>
              <w:marBottom w:val="0"/>
              <w:divBdr>
                <w:top w:val="none" w:sz="0" w:space="0" w:color="auto"/>
                <w:left w:val="none" w:sz="0" w:space="0" w:color="auto"/>
                <w:bottom w:val="none" w:sz="0" w:space="0" w:color="auto"/>
                <w:right w:val="none" w:sz="0" w:space="0" w:color="auto"/>
              </w:divBdr>
            </w:div>
            <w:div w:id="1757360009">
              <w:marLeft w:val="0"/>
              <w:marRight w:val="0"/>
              <w:marTop w:val="0"/>
              <w:marBottom w:val="0"/>
              <w:divBdr>
                <w:top w:val="none" w:sz="0" w:space="0" w:color="auto"/>
                <w:left w:val="none" w:sz="0" w:space="0" w:color="auto"/>
                <w:bottom w:val="none" w:sz="0" w:space="0" w:color="auto"/>
                <w:right w:val="none" w:sz="0" w:space="0" w:color="auto"/>
              </w:divBdr>
            </w:div>
            <w:div w:id="676423488">
              <w:marLeft w:val="0"/>
              <w:marRight w:val="0"/>
              <w:marTop w:val="0"/>
              <w:marBottom w:val="0"/>
              <w:divBdr>
                <w:top w:val="none" w:sz="0" w:space="0" w:color="auto"/>
                <w:left w:val="none" w:sz="0" w:space="0" w:color="auto"/>
                <w:bottom w:val="none" w:sz="0" w:space="0" w:color="auto"/>
                <w:right w:val="none" w:sz="0" w:space="0" w:color="auto"/>
              </w:divBdr>
            </w:div>
            <w:div w:id="992952810">
              <w:marLeft w:val="0"/>
              <w:marRight w:val="0"/>
              <w:marTop w:val="0"/>
              <w:marBottom w:val="0"/>
              <w:divBdr>
                <w:top w:val="none" w:sz="0" w:space="0" w:color="auto"/>
                <w:left w:val="none" w:sz="0" w:space="0" w:color="auto"/>
                <w:bottom w:val="none" w:sz="0" w:space="0" w:color="auto"/>
                <w:right w:val="none" w:sz="0" w:space="0" w:color="auto"/>
              </w:divBdr>
            </w:div>
            <w:div w:id="1456412440">
              <w:marLeft w:val="0"/>
              <w:marRight w:val="0"/>
              <w:marTop w:val="0"/>
              <w:marBottom w:val="0"/>
              <w:divBdr>
                <w:top w:val="none" w:sz="0" w:space="0" w:color="auto"/>
                <w:left w:val="none" w:sz="0" w:space="0" w:color="auto"/>
                <w:bottom w:val="none" w:sz="0" w:space="0" w:color="auto"/>
                <w:right w:val="none" w:sz="0" w:space="0" w:color="auto"/>
              </w:divBdr>
            </w:div>
            <w:div w:id="200749844">
              <w:marLeft w:val="0"/>
              <w:marRight w:val="0"/>
              <w:marTop w:val="0"/>
              <w:marBottom w:val="0"/>
              <w:divBdr>
                <w:top w:val="none" w:sz="0" w:space="0" w:color="auto"/>
                <w:left w:val="none" w:sz="0" w:space="0" w:color="auto"/>
                <w:bottom w:val="none" w:sz="0" w:space="0" w:color="auto"/>
                <w:right w:val="none" w:sz="0" w:space="0" w:color="auto"/>
              </w:divBdr>
            </w:div>
            <w:div w:id="587465938">
              <w:marLeft w:val="0"/>
              <w:marRight w:val="0"/>
              <w:marTop w:val="0"/>
              <w:marBottom w:val="0"/>
              <w:divBdr>
                <w:top w:val="none" w:sz="0" w:space="0" w:color="auto"/>
                <w:left w:val="none" w:sz="0" w:space="0" w:color="auto"/>
                <w:bottom w:val="none" w:sz="0" w:space="0" w:color="auto"/>
                <w:right w:val="none" w:sz="0" w:space="0" w:color="auto"/>
              </w:divBdr>
            </w:div>
            <w:div w:id="1975134922">
              <w:marLeft w:val="0"/>
              <w:marRight w:val="0"/>
              <w:marTop w:val="0"/>
              <w:marBottom w:val="0"/>
              <w:divBdr>
                <w:top w:val="none" w:sz="0" w:space="0" w:color="auto"/>
                <w:left w:val="none" w:sz="0" w:space="0" w:color="auto"/>
                <w:bottom w:val="none" w:sz="0" w:space="0" w:color="auto"/>
                <w:right w:val="none" w:sz="0" w:space="0" w:color="auto"/>
              </w:divBdr>
            </w:div>
            <w:div w:id="338700266">
              <w:marLeft w:val="0"/>
              <w:marRight w:val="0"/>
              <w:marTop w:val="0"/>
              <w:marBottom w:val="0"/>
              <w:divBdr>
                <w:top w:val="none" w:sz="0" w:space="0" w:color="auto"/>
                <w:left w:val="none" w:sz="0" w:space="0" w:color="auto"/>
                <w:bottom w:val="none" w:sz="0" w:space="0" w:color="auto"/>
                <w:right w:val="none" w:sz="0" w:space="0" w:color="auto"/>
              </w:divBdr>
            </w:div>
            <w:div w:id="1147674532">
              <w:marLeft w:val="0"/>
              <w:marRight w:val="0"/>
              <w:marTop w:val="0"/>
              <w:marBottom w:val="0"/>
              <w:divBdr>
                <w:top w:val="none" w:sz="0" w:space="0" w:color="auto"/>
                <w:left w:val="none" w:sz="0" w:space="0" w:color="auto"/>
                <w:bottom w:val="none" w:sz="0" w:space="0" w:color="auto"/>
                <w:right w:val="none" w:sz="0" w:space="0" w:color="auto"/>
              </w:divBdr>
            </w:div>
            <w:div w:id="1645501866">
              <w:marLeft w:val="0"/>
              <w:marRight w:val="0"/>
              <w:marTop w:val="0"/>
              <w:marBottom w:val="0"/>
              <w:divBdr>
                <w:top w:val="none" w:sz="0" w:space="0" w:color="auto"/>
                <w:left w:val="none" w:sz="0" w:space="0" w:color="auto"/>
                <w:bottom w:val="none" w:sz="0" w:space="0" w:color="auto"/>
                <w:right w:val="none" w:sz="0" w:space="0" w:color="auto"/>
              </w:divBdr>
            </w:div>
            <w:div w:id="2017801658">
              <w:marLeft w:val="0"/>
              <w:marRight w:val="0"/>
              <w:marTop w:val="0"/>
              <w:marBottom w:val="0"/>
              <w:divBdr>
                <w:top w:val="none" w:sz="0" w:space="0" w:color="auto"/>
                <w:left w:val="none" w:sz="0" w:space="0" w:color="auto"/>
                <w:bottom w:val="none" w:sz="0" w:space="0" w:color="auto"/>
                <w:right w:val="none" w:sz="0" w:space="0" w:color="auto"/>
              </w:divBdr>
            </w:div>
            <w:div w:id="1166632178">
              <w:marLeft w:val="0"/>
              <w:marRight w:val="0"/>
              <w:marTop w:val="0"/>
              <w:marBottom w:val="0"/>
              <w:divBdr>
                <w:top w:val="none" w:sz="0" w:space="0" w:color="auto"/>
                <w:left w:val="none" w:sz="0" w:space="0" w:color="auto"/>
                <w:bottom w:val="none" w:sz="0" w:space="0" w:color="auto"/>
                <w:right w:val="none" w:sz="0" w:space="0" w:color="auto"/>
              </w:divBdr>
            </w:div>
            <w:div w:id="743449658">
              <w:marLeft w:val="0"/>
              <w:marRight w:val="0"/>
              <w:marTop w:val="0"/>
              <w:marBottom w:val="0"/>
              <w:divBdr>
                <w:top w:val="none" w:sz="0" w:space="0" w:color="auto"/>
                <w:left w:val="none" w:sz="0" w:space="0" w:color="auto"/>
                <w:bottom w:val="none" w:sz="0" w:space="0" w:color="auto"/>
                <w:right w:val="none" w:sz="0" w:space="0" w:color="auto"/>
              </w:divBdr>
            </w:div>
            <w:div w:id="1617713661">
              <w:marLeft w:val="0"/>
              <w:marRight w:val="0"/>
              <w:marTop w:val="0"/>
              <w:marBottom w:val="0"/>
              <w:divBdr>
                <w:top w:val="none" w:sz="0" w:space="0" w:color="auto"/>
                <w:left w:val="none" w:sz="0" w:space="0" w:color="auto"/>
                <w:bottom w:val="none" w:sz="0" w:space="0" w:color="auto"/>
                <w:right w:val="none" w:sz="0" w:space="0" w:color="auto"/>
              </w:divBdr>
            </w:div>
            <w:div w:id="1551107780">
              <w:marLeft w:val="0"/>
              <w:marRight w:val="0"/>
              <w:marTop w:val="0"/>
              <w:marBottom w:val="0"/>
              <w:divBdr>
                <w:top w:val="none" w:sz="0" w:space="0" w:color="auto"/>
                <w:left w:val="none" w:sz="0" w:space="0" w:color="auto"/>
                <w:bottom w:val="none" w:sz="0" w:space="0" w:color="auto"/>
                <w:right w:val="none" w:sz="0" w:space="0" w:color="auto"/>
              </w:divBdr>
            </w:div>
            <w:div w:id="255293023">
              <w:marLeft w:val="0"/>
              <w:marRight w:val="0"/>
              <w:marTop w:val="0"/>
              <w:marBottom w:val="0"/>
              <w:divBdr>
                <w:top w:val="none" w:sz="0" w:space="0" w:color="auto"/>
                <w:left w:val="none" w:sz="0" w:space="0" w:color="auto"/>
                <w:bottom w:val="none" w:sz="0" w:space="0" w:color="auto"/>
                <w:right w:val="none" w:sz="0" w:space="0" w:color="auto"/>
              </w:divBdr>
            </w:div>
            <w:div w:id="1116094571">
              <w:marLeft w:val="0"/>
              <w:marRight w:val="0"/>
              <w:marTop w:val="0"/>
              <w:marBottom w:val="0"/>
              <w:divBdr>
                <w:top w:val="none" w:sz="0" w:space="0" w:color="auto"/>
                <w:left w:val="none" w:sz="0" w:space="0" w:color="auto"/>
                <w:bottom w:val="none" w:sz="0" w:space="0" w:color="auto"/>
                <w:right w:val="none" w:sz="0" w:space="0" w:color="auto"/>
              </w:divBdr>
            </w:div>
            <w:div w:id="1991669319">
              <w:marLeft w:val="0"/>
              <w:marRight w:val="0"/>
              <w:marTop w:val="0"/>
              <w:marBottom w:val="0"/>
              <w:divBdr>
                <w:top w:val="none" w:sz="0" w:space="0" w:color="auto"/>
                <w:left w:val="none" w:sz="0" w:space="0" w:color="auto"/>
                <w:bottom w:val="none" w:sz="0" w:space="0" w:color="auto"/>
                <w:right w:val="none" w:sz="0" w:space="0" w:color="auto"/>
              </w:divBdr>
            </w:div>
            <w:div w:id="465271887">
              <w:marLeft w:val="0"/>
              <w:marRight w:val="0"/>
              <w:marTop w:val="0"/>
              <w:marBottom w:val="0"/>
              <w:divBdr>
                <w:top w:val="none" w:sz="0" w:space="0" w:color="auto"/>
                <w:left w:val="none" w:sz="0" w:space="0" w:color="auto"/>
                <w:bottom w:val="none" w:sz="0" w:space="0" w:color="auto"/>
                <w:right w:val="none" w:sz="0" w:space="0" w:color="auto"/>
              </w:divBdr>
            </w:div>
            <w:div w:id="262997522">
              <w:marLeft w:val="0"/>
              <w:marRight w:val="0"/>
              <w:marTop w:val="0"/>
              <w:marBottom w:val="0"/>
              <w:divBdr>
                <w:top w:val="none" w:sz="0" w:space="0" w:color="auto"/>
                <w:left w:val="none" w:sz="0" w:space="0" w:color="auto"/>
                <w:bottom w:val="none" w:sz="0" w:space="0" w:color="auto"/>
                <w:right w:val="none" w:sz="0" w:space="0" w:color="auto"/>
              </w:divBdr>
            </w:div>
            <w:div w:id="1522162782">
              <w:marLeft w:val="0"/>
              <w:marRight w:val="0"/>
              <w:marTop w:val="0"/>
              <w:marBottom w:val="0"/>
              <w:divBdr>
                <w:top w:val="none" w:sz="0" w:space="0" w:color="auto"/>
                <w:left w:val="none" w:sz="0" w:space="0" w:color="auto"/>
                <w:bottom w:val="none" w:sz="0" w:space="0" w:color="auto"/>
                <w:right w:val="none" w:sz="0" w:space="0" w:color="auto"/>
              </w:divBdr>
            </w:div>
            <w:div w:id="739786054">
              <w:marLeft w:val="0"/>
              <w:marRight w:val="0"/>
              <w:marTop w:val="0"/>
              <w:marBottom w:val="0"/>
              <w:divBdr>
                <w:top w:val="none" w:sz="0" w:space="0" w:color="auto"/>
                <w:left w:val="none" w:sz="0" w:space="0" w:color="auto"/>
                <w:bottom w:val="none" w:sz="0" w:space="0" w:color="auto"/>
                <w:right w:val="none" w:sz="0" w:space="0" w:color="auto"/>
              </w:divBdr>
            </w:div>
            <w:div w:id="879895832">
              <w:marLeft w:val="0"/>
              <w:marRight w:val="0"/>
              <w:marTop w:val="0"/>
              <w:marBottom w:val="0"/>
              <w:divBdr>
                <w:top w:val="none" w:sz="0" w:space="0" w:color="auto"/>
                <w:left w:val="none" w:sz="0" w:space="0" w:color="auto"/>
                <w:bottom w:val="none" w:sz="0" w:space="0" w:color="auto"/>
                <w:right w:val="none" w:sz="0" w:space="0" w:color="auto"/>
              </w:divBdr>
            </w:div>
            <w:div w:id="704479148">
              <w:marLeft w:val="0"/>
              <w:marRight w:val="0"/>
              <w:marTop w:val="0"/>
              <w:marBottom w:val="0"/>
              <w:divBdr>
                <w:top w:val="none" w:sz="0" w:space="0" w:color="auto"/>
                <w:left w:val="none" w:sz="0" w:space="0" w:color="auto"/>
                <w:bottom w:val="none" w:sz="0" w:space="0" w:color="auto"/>
                <w:right w:val="none" w:sz="0" w:space="0" w:color="auto"/>
              </w:divBdr>
            </w:div>
            <w:div w:id="128405218">
              <w:marLeft w:val="0"/>
              <w:marRight w:val="0"/>
              <w:marTop w:val="0"/>
              <w:marBottom w:val="0"/>
              <w:divBdr>
                <w:top w:val="none" w:sz="0" w:space="0" w:color="auto"/>
                <w:left w:val="none" w:sz="0" w:space="0" w:color="auto"/>
                <w:bottom w:val="none" w:sz="0" w:space="0" w:color="auto"/>
                <w:right w:val="none" w:sz="0" w:space="0" w:color="auto"/>
              </w:divBdr>
            </w:div>
            <w:div w:id="1235972662">
              <w:marLeft w:val="0"/>
              <w:marRight w:val="0"/>
              <w:marTop w:val="0"/>
              <w:marBottom w:val="0"/>
              <w:divBdr>
                <w:top w:val="none" w:sz="0" w:space="0" w:color="auto"/>
                <w:left w:val="none" w:sz="0" w:space="0" w:color="auto"/>
                <w:bottom w:val="none" w:sz="0" w:space="0" w:color="auto"/>
                <w:right w:val="none" w:sz="0" w:space="0" w:color="auto"/>
              </w:divBdr>
            </w:div>
            <w:div w:id="663704955">
              <w:marLeft w:val="0"/>
              <w:marRight w:val="0"/>
              <w:marTop w:val="0"/>
              <w:marBottom w:val="0"/>
              <w:divBdr>
                <w:top w:val="none" w:sz="0" w:space="0" w:color="auto"/>
                <w:left w:val="none" w:sz="0" w:space="0" w:color="auto"/>
                <w:bottom w:val="none" w:sz="0" w:space="0" w:color="auto"/>
                <w:right w:val="none" w:sz="0" w:space="0" w:color="auto"/>
              </w:divBdr>
            </w:div>
            <w:div w:id="2052269644">
              <w:marLeft w:val="0"/>
              <w:marRight w:val="0"/>
              <w:marTop w:val="0"/>
              <w:marBottom w:val="0"/>
              <w:divBdr>
                <w:top w:val="none" w:sz="0" w:space="0" w:color="auto"/>
                <w:left w:val="none" w:sz="0" w:space="0" w:color="auto"/>
                <w:bottom w:val="none" w:sz="0" w:space="0" w:color="auto"/>
                <w:right w:val="none" w:sz="0" w:space="0" w:color="auto"/>
              </w:divBdr>
            </w:div>
            <w:div w:id="1287392017">
              <w:marLeft w:val="0"/>
              <w:marRight w:val="0"/>
              <w:marTop w:val="0"/>
              <w:marBottom w:val="0"/>
              <w:divBdr>
                <w:top w:val="none" w:sz="0" w:space="0" w:color="auto"/>
                <w:left w:val="none" w:sz="0" w:space="0" w:color="auto"/>
                <w:bottom w:val="none" w:sz="0" w:space="0" w:color="auto"/>
                <w:right w:val="none" w:sz="0" w:space="0" w:color="auto"/>
              </w:divBdr>
            </w:div>
            <w:div w:id="501044060">
              <w:marLeft w:val="0"/>
              <w:marRight w:val="0"/>
              <w:marTop w:val="0"/>
              <w:marBottom w:val="0"/>
              <w:divBdr>
                <w:top w:val="none" w:sz="0" w:space="0" w:color="auto"/>
                <w:left w:val="none" w:sz="0" w:space="0" w:color="auto"/>
                <w:bottom w:val="none" w:sz="0" w:space="0" w:color="auto"/>
                <w:right w:val="none" w:sz="0" w:space="0" w:color="auto"/>
              </w:divBdr>
            </w:div>
            <w:div w:id="1321021">
              <w:marLeft w:val="0"/>
              <w:marRight w:val="0"/>
              <w:marTop w:val="0"/>
              <w:marBottom w:val="0"/>
              <w:divBdr>
                <w:top w:val="none" w:sz="0" w:space="0" w:color="auto"/>
                <w:left w:val="none" w:sz="0" w:space="0" w:color="auto"/>
                <w:bottom w:val="none" w:sz="0" w:space="0" w:color="auto"/>
                <w:right w:val="none" w:sz="0" w:space="0" w:color="auto"/>
              </w:divBdr>
            </w:div>
            <w:div w:id="1172065848">
              <w:marLeft w:val="0"/>
              <w:marRight w:val="0"/>
              <w:marTop w:val="0"/>
              <w:marBottom w:val="0"/>
              <w:divBdr>
                <w:top w:val="none" w:sz="0" w:space="0" w:color="auto"/>
                <w:left w:val="none" w:sz="0" w:space="0" w:color="auto"/>
                <w:bottom w:val="none" w:sz="0" w:space="0" w:color="auto"/>
                <w:right w:val="none" w:sz="0" w:space="0" w:color="auto"/>
              </w:divBdr>
            </w:div>
            <w:div w:id="1406799989">
              <w:marLeft w:val="0"/>
              <w:marRight w:val="0"/>
              <w:marTop w:val="0"/>
              <w:marBottom w:val="0"/>
              <w:divBdr>
                <w:top w:val="none" w:sz="0" w:space="0" w:color="auto"/>
                <w:left w:val="none" w:sz="0" w:space="0" w:color="auto"/>
                <w:bottom w:val="none" w:sz="0" w:space="0" w:color="auto"/>
                <w:right w:val="none" w:sz="0" w:space="0" w:color="auto"/>
              </w:divBdr>
            </w:div>
            <w:div w:id="1807893707">
              <w:marLeft w:val="0"/>
              <w:marRight w:val="0"/>
              <w:marTop w:val="0"/>
              <w:marBottom w:val="0"/>
              <w:divBdr>
                <w:top w:val="none" w:sz="0" w:space="0" w:color="auto"/>
                <w:left w:val="none" w:sz="0" w:space="0" w:color="auto"/>
                <w:bottom w:val="none" w:sz="0" w:space="0" w:color="auto"/>
                <w:right w:val="none" w:sz="0" w:space="0" w:color="auto"/>
              </w:divBdr>
            </w:div>
            <w:div w:id="933707511">
              <w:marLeft w:val="0"/>
              <w:marRight w:val="0"/>
              <w:marTop w:val="0"/>
              <w:marBottom w:val="0"/>
              <w:divBdr>
                <w:top w:val="none" w:sz="0" w:space="0" w:color="auto"/>
                <w:left w:val="none" w:sz="0" w:space="0" w:color="auto"/>
                <w:bottom w:val="none" w:sz="0" w:space="0" w:color="auto"/>
                <w:right w:val="none" w:sz="0" w:space="0" w:color="auto"/>
              </w:divBdr>
            </w:div>
            <w:div w:id="615989142">
              <w:marLeft w:val="0"/>
              <w:marRight w:val="0"/>
              <w:marTop w:val="0"/>
              <w:marBottom w:val="0"/>
              <w:divBdr>
                <w:top w:val="none" w:sz="0" w:space="0" w:color="auto"/>
                <w:left w:val="none" w:sz="0" w:space="0" w:color="auto"/>
                <w:bottom w:val="none" w:sz="0" w:space="0" w:color="auto"/>
                <w:right w:val="none" w:sz="0" w:space="0" w:color="auto"/>
              </w:divBdr>
            </w:div>
            <w:div w:id="1753773370">
              <w:marLeft w:val="0"/>
              <w:marRight w:val="0"/>
              <w:marTop w:val="0"/>
              <w:marBottom w:val="0"/>
              <w:divBdr>
                <w:top w:val="none" w:sz="0" w:space="0" w:color="auto"/>
                <w:left w:val="none" w:sz="0" w:space="0" w:color="auto"/>
                <w:bottom w:val="none" w:sz="0" w:space="0" w:color="auto"/>
                <w:right w:val="none" w:sz="0" w:space="0" w:color="auto"/>
              </w:divBdr>
            </w:div>
            <w:div w:id="1469854241">
              <w:marLeft w:val="0"/>
              <w:marRight w:val="0"/>
              <w:marTop w:val="0"/>
              <w:marBottom w:val="0"/>
              <w:divBdr>
                <w:top w:val="none" w:sz="0" w:space="0" w:color="auto"/>
                <w:left w:val="none" w:sz="0" w:space="0" w:color="auto"/>
                <w:bottom w:val="none" w:sz="0" w:space="0" w:color="auto"/>
                <w:right w:val="none" w:sz="0" w:space="0" w:color="auto"/>
              </w:divBdr>
            </w:div>
            <w:div w:id="815756446">
              <w:marLeft w:val="0"/>
              <w:marRight w:val="0"/>
              <w:marTop w:val="0"/>
              <w:marBottom w:val="0"/>
              <w:divBdr>
                <w:top w:val="none" w:sz="0" w:space="0" w:color="auto"/>
                <w:left w:val="none" w:sz="0" w:space="0" w:color="auto"/>
                <w:bottom w:val="none" w:sz="0" w:space="0" w:color="auto"/>
                <w:right w:val="none" w:sz="0" w:space="0" w:color="auto"/>
              </w:divBdr>
            </w:div>
            <w:div w:id="2023509902">
              <w:marLeft w:val="0"/>
              <w:marRight w:val="0"/>
              <w:marTop w:val="0"/>
              <w:marBottom w:val="0"/>
              <w:divBdr>
                <w:top w:val="none" w:sz="0" w:space="0" w:color="auto"/>
                <w:left w:val="none" w:sz="0" w:space="0" w:color="auto"/>
                <w:bottom w:val="none" w:sz="0" w:space="0" w:color="auto"/>
                <w:right w:val="none" w:sz="0" w:space="0" w:color="auto"/>
              </w:divBdr>
            </w:div>
            <w:div w:id="699629264">
              <w:marLeft w:val="0"/>
              <w:marRight w:val="0"/>
              <w:marTop w:val="0"/>
              <w:marBottom w:val="0"/>
              <w:divBdr>
                <w:top w:val="none" w:sz="0" w:space="0" w:color="auto"/>
                <w:left w:val="none" w:sz="0" w:space="0" w:color="auto"/>
                <w:bottom w:val="none" w:sz="0" w:space="0" w:color="auto"/>
                <w:right w:val="none" w:sz="0" w:space="0" w:color="auto"/>
              </w:divBdr>
            </w:div>
            <w:div w:id="812209643">
              <w:marLeft w:val="0"/>
              <w:marRight w:val="0"/>
              <w:marTop w:val="0"/>
              <w:marBottom w:val="0"/>
              <w:divBdr>
                <w:top w:val="none" w:sz="0" w:space="0" w:color="auto"/>
                <w:left w:val="none" w:sz="0" w:space="0" w:color="auto"/>
                <w:bottom w:val="none" w:sz="0" w:space="0" w:color="auto"/>
                <w:right w:val="none" w:sz="0" w:space="0" w:color="auto"/>
              </w:divBdr>
            </w:div>
            <w:div w:id="656542236">
              <w:marLeft w:val="0"/>
              <w:marRight w:val="0"/>
              <w:marTop w:val="0"/>
              <w:marBottom w:val="0"/>
              <w:divBdr>
                <w:top w:val="none" w:sz="0" w:space="0" w:color="auto"/>
                <w:left w:val="none" w:sz="0" w:space="0" w:color="auto"/>
                <w:bottom w:val="none" w:sz="0" w:space="0" w:color="auto"/>
                <w:right w:val="none" w:sz="0" w:space="0" w:color="auto"/>
              </w:divBdr>
            </w:div>
            <w:div w:id="1545946298">
              <w:marLeft w:val="0"/>
              <w:marRight w:val="0"/>
              <w:marTop w:val="0"/>
              <w:marBottom w:val="0"/>
              <w:divBdr>
                <w:top w:val="none" w:sz="0" w:space="0" w:color="auto"/>
                <w:left w:val="none" w:sz="0" w:space="0" w:color="auto"/>
                <w:bottom w:val="none" w:sz="0" w:space="0" w:color="auto"/>
                <w:right w:val="none" w:sz="0" w:space="0" w:color="auto"/>
              </w:divBdr>
            </w:div>
            <w:div w:id="614169872">
              <w:marLeft w:val="0"/>
              <w:marRight w:val="0"/>
              <w:marTop w:val="0"/>
              <w:marBottom w:val="0"/>
              <w:divBdr>
                <w:top w:val="none" w:sz="0" w:space="0" w:color="auto"/>
                <w:left w:val="none" w:sz="0" w:space="0" w:color="auto"/>
                <w:bottom w:val="none" w:sz="0" w:space="0" w:color="auto"/>
                <w:right w:val="none" w:sz="0" w:space="0" w:color="auto"/>
              </w:divBdr>
            </w:div>
            <w:div w:id="2132162948">
              <w:marLeft w:val="0"/>
              <w:marRight w:val="0"/>
              <w:marTop w:val="0"/>
              <w:marBottom w:val="0"/>
              <w:divBdr>
                <w:top w:val="none" w:sz="0" w:space="0" w:color="auto"/>
                <w:left w:val="none" w:sz="0" w:space="0" w:color="auto"/>
                <w:bottom w:val="none" w:sz="0" w:space="0" w:color="auto"/>
                <w:right w:val="none" w:sz="0" w:space="0" w:color="auto"/>
              </w:divBdr>
            </w:div>
            <w:div w:id="576481707">
              <w:marLeft w:val="0"/>
              <w:marRight w:val="0"/>
              <w:marTop w:val="0"/>
              <w:marBottom w:val="0"/>
              <w:divBdr>
                <w:top w:val="none" w:sz="0" w:space="0" w:color="auto"/>
                <w:left w:val="none" w:sz="0" w:space="0" w:color="auto"/>
                <w:bottom w:val="none" w:sz="0" w:space="0" w:color="auto"/>
                <w:right w:val="none" w:sz="0" w:space="0" w:color="auto"/>
              </w:divBdr>
            </w:div>
            <w:div w:id="1971132809">
              <w:marLeft w:val="0"/>
              <w:marRight w:val="0"/>
              <w:marTop w:val="0"/>
              <w:marBottom w:val="0"/>
              <w:divBdr>
                <w:top w:val="none" w:sz="0" w:space="0" w:color="auto"/>
                <w:left w:val="none" w:sz="0" w:space="0" w:color="auto"/>
                <w:bottom w:val="none" w:sz="0" w:space="0" w:color="auto"/>
                <w:right w:val="none" w:sz="0" w:space="0" w:color="auto"/>
              </w:divBdr>
            </w:div>
            <w:div w:id="1022513947">
              <w:marLeft w:val="0"/>
              <w:marRight w:val="0"/>
              <w:marTop w:val="0"/>
              <w:marBottom w:val="0"/>
              <w:divBdr>
                <w:top w:val="none" w:sz="0" w:space="0" w:color="auto"/>
                <w:left w:val="none" w:sz="0" w:space="0" w:color="auto"/>
                <w:bottom w:val="none" w:sz="0" w:space="0" w:color="auto"/>
                <w:right w:val="none" w:sz="0" w:space="0" w:color="auto"/>
              </w:divBdr>
            </w:div>
            <w:div w:id="1499927760">
              <w:marLeft w:val="0"/>
              <w:marRight w:val="0"/>
              <w:marTop w:val="0"/>
              <w:marBottom w:val="0"/>
              <w:divBdr>
                <w:top w:val="none" w:sz="0" w:space="0" w:color="auto"/>
                <w:left w:val="none" w:sz="0" w:space="0" w:color="auto"/>
                <w:bottom w:val="none" w:sz="0" w:space="0" w:color="auto"/>
                <w:right w:val="none" w:sz="0" w:space="0" w:color="auto"/>
              </w:divBdr>
            </w:div>
            <w:div w:id="2098166122">
              <w:marLeft w:val="0"/>
              <w:marRight w:val="0"/>
              <w:marTop w:val="0"/>
              <w:marBottom w:val="0"/>
              <w:divBdr>
                <w:top w:val="none" w:sz="0" w:space="0" w:color="auto"/>
                <w:left w:val="none" w:sz="0" w:space="0" w:color="auto"/>
                <w:bottom w:val="none" w:sz="0" w:space="0" w:color="auto"/>
                <w:right w:val="none" w:sz="0" w:space="0" w:color="auto"/>
              </w:divBdr>
            </w:div>
            <w:div w:id="347802590">
              <w:marLeft w:val="0"/>
              <w:marRight w:val="0"/>
              <w:marTop w:val="0"/>
              <w:marBottom w:val="0"/>
              <w:divBdr>
                <w:top w:val="none" w:sz="0" w:space="0" w:color="auto"/>
                <w:left w:val="none" w:sz="0" w:space="0" w:color="auto"/>
                <w:bottom w:val="none" w:sz="0" w:space="0" w:color="auto"/>
                <w:right w:val="none" w:sz="0" w:space="0" w:color="auto"/>
              </w:divBdr>
            </w:div>
            <w:div w:id="1496603068">
              <w:marLeft w:val="0"/>
              <w:marRight w:val="0"/>
              <w:marTop w:val="0"/>
              <w:marBottom w:val="0"/>
              <w:divBdr>
                <w:top w:val="none" w:sz="0" w:space="0" w:color="auto"/>
                <w:left w:val="none" w:sz="0" w:space="0" w:color="auto"/>
                <w:bottom w:val="none" w:sz="0" w:space="0" w:color="auto"/>
                <w:right w:val="none" w:sz="0" w:space="0" w:color="auto"/>
              </w:divBdr>
            </w:div>
            <w:div w:id="364798147">
              <w:marLeft w:val="0"/>
              <w:marRight w:val="0"/>
              <w:marTop w:val="0"/>
              <w:marBottom w:val="0"/>
              <w:divBdr>
                <w:top w:val="none" w:sz="0" w:space="0" w:color="auto"/>
                <w:left w:val="none" w:sz="0" w:space="0" w:color="auto"/>
                <w:bottom w:val="none" w:sz="0" w:space="0" w:color="auto"/>
                <w:right w:val="none" w:sz="0" w:space="0" w:color="auto"/>
              </w:divBdr>
            </w:div>
            <w:div w:id="986664905">
              <w:marLeft w:val="0"/>
              <w:marRight w:val="0"/>
              <w:marTop w:val="0"/>
              <w:marBottom w:val="0"/>
              <w:divBdr>
                <w:top w:val="none" w:sz="0" w:space="0" w:color="auto"/>
                <w:left w:val="none" w:sz="0" w:space="0" w:color="auto"/>
                <w:bottom w:val="none" w:sz="0" w:space="0" w:color="auto"/>
                <w:right w:val="none" w:sz="0" w:space="0" w:color="auto"/>
              </w:divBdr>
            </w:div>
            <w:div w:id="1940067573">
              <w:marLeft w:val="0"/>
              <w:marRight w:val="0"/>
              <w:marTop w:val="0"/>
              <w:marBottom w:val="0"/>
              <w:divBdr>
                <w:top w:val="none" w:sz="0" w:space="0" w:color="auto"/>
                <w:left w:val="none" w:sz="0" w:space="0" w:color="auto"/>
                <w:bottom w:val="none" w:sz="0" w:space="0" w:color="auto"/>
                <w:right w:val="none" w:sz="0" w:space="0" w:color="auto"/>
              </w:divBdr>
            </w:div>
            <w:div w:id="18821958">
              <w:marLeft w:val="0"/>
              <w:marRight w:val="0"/>
              <w:marTop w:val="0"/>
              <w:marBottom w:val="0"/>
              <w:divBdr>
                <w:top w:val="none" w:sz="0" w:space="0" w:color="auto"/>
                <w:left w:val="none" w:sz="0" w:space="0" w:color="auto"/>
                <w:bottom w:val="none" w:sz="0" w:space="0" w:color="auto"/>
                <w:right w:val="none" w:sz="0" w:space="0" w:color="auto"/>
              </w:divBdr>
            </w:div>
            <w:div w:id="678511500">
              <w:marLeft w:val="0"/>
              <w:marRight w:val="0"/>
              <w:marTop w:val="0"/>
              <w:marBottom w:val="0"/>
              <w:divBdr>
                <w:top w:val="none" w:sz="0" w:space="0" w:color="auto"/>
                <w:left w:val="none" w:sz="0" w:space="0" w:color="auto"/>
                <w:bottom w:val="none" w:sz="0" w:space="0" w:color="auto"/>
                <w:right w:val="none" w:sz="0" w:space="0" w:color="auto"/>
              </w:divBdr>
            </w:div>
            <w:div w:id="1666277127">
              <w:marLeft w:val="0"/>
              <w:marRight w:val="0"/>
              <w:marTop w:val="0"/>
              <w:marBottom w:val="0"/>
              <w:divBdr>
                <w:top w:val="none" w:sz="0" w:space="0" w:color="auto"/>
                <w:left w:val="none" w:sz="0" w:space="0" w:color="auto"/>
                <w:bottom w:val="none" w:sz="0" w:space="0" w:color="auto"/>
                <w:right w:val="none" w:sz="0" w:space="0" w:color="auto"/>
              </w:divBdr>
            </w:div>
            <w:div w:id="940185580">
              <w:marLeft w:val="0"/>
              <w:marRight w:val="0"/>
              <w:marTop w:val="0"/>
              <w:marBottom w:val="0"/>
              <w:divBdr>
                <w:top w:val="none" w:sz="0" w:space="0" w:color="auto"/>
                <w:left w:val="none" w:sz="0" w:space="0" w:color="auto"/>
                <w:bottom w:val="none" w:sz="0" w:space="0" w:color="auto"/>
                <w:right w:val="none" w:sz="0" w:space="0" w:color="auto"/>
              </w:divBdr>
            </w:div>
            <w:div w:id="1123571055">
              <w:marLeft w:val="0"/>
              <w:marRight w:val="0"/>
              <w:marTop w:val="0"/>
              <w:marBottom w:val="0"/>
              <w:divBdr>
                <w:top w:val="none" w:sz="0" w:space="0" w:color="auto"/>
                <w:left w:val="none" w:sz="0" w:space="0" w:color="auto"/>
                <w:bottom w:val="none" w:sz="0" w:space="0" w:color="auto"/>
                <w:right w:val="none" w:sz="0" w:space="0" w:color="auto"/>
              </w:divBdr>
            </w:div>
            <w:div w:id="683283847">
              <w:marLeft w:val="0"/>
              <w:marRight w:val="0"/>
              <w:marTop w:val="0"/>
              <w:marBottom w:val="0"/>
              <w:divBdr>
                <w:top w:val="none" w:sz="0" w:space="0" w:color="auto"/>
                <w:left w:val="none" w:sz="0" w:space="0" w:color="auto"/>
                <w:bottom w:val="none" w:sz="0" w:space="0" w:color="auto"/>
                <w:right w:val="none" w:sz="0" w:space="0" w:color="auto"/>
              </w:divBdr>
            </w:div>
            <w:div w:id="1917324800">
              <w:marLeft w:val="0"/>
              <w:marRight w:val="0"/>
              <w:marTop w:val="0"/>
              <w:marBottom w:val="0"/>
              <w:divBdr>
                <w:top w:val="none" w:sz="0" w:space="0" w:color="auto"/>
                <w:left w:val="none" w:sz="0" w:space="0" w:color="auto"/>
                <w:bottom w:val="none" w:sz="0" w:space="0" w:color="auto"/>
                <w:right w:val="none" w:sz="0" w:space="0" w:color="auto"/>
              </w:divBdr>
            </w:div>
            <w:div w:id="799762452">
              <w:marLeft w:val="0"/>
              <w:marRight w:val="0"/>
              <w:marTop w:val="0"/>
              <w:marBottom w:val="0"/>
              <w:divBdr>
                <w:top w:val="none" w:sz="0" w:space="0" w:color="auto"/>
                <w:left w:val="none" w:sz="0" w:space="0" w:color="auto"/>
                <w:bottom w:val="none" w:sz="0" w:space="0" w:color="auto"/>
                <w:right w:val="none" w:sz="0" w:space="0" w:color="auto"/>
              </w:divBdr>
            </w:div>
            <w:div w:id="1617056237">
              <w:marLeft w:val="0"/>
              <w:marRight w:val="0"/>
              <w:marTop w:val="0"/>
              <w:marBottom w:val="0"/>
              <w:divBdr>
                <w:top w:val="none" w:sz="0" w:space="0" w:color="auto"/>
                <w:left w:val="none" w:sz="0" w:space="0" w:color="auto"/>
                <w:bottom w:val="none" w:sz="0" w:space="0" w:color="auto"/>
                <w:right w:val="none" w:sz="0" w:space="0" w:color="auto"/>
              </w:divBdr>
            </w:div>
            <w:div w:id="502162145">
              <w:marLeft w:val="0"/>
              <w:marRight w:val="0"/>
              <w:marTop w:val="0"/>
              <w:marBottom w:val="0"/>
              <w:divBdr>
                <w:top w:val="none" w:sz="0" w:space="0" w:color="auto"/>
                <w:left w:val="none" w:sz="0" w:space="0" w:color="auto"/>
                <w:bottom w:val="none" w:sz="0" w:space="0" w:color="auto"/>
                <w:right w:val="none" w:sz="0" w:space="0" w:color="auto"/>
              </w:divBdr>
            </w:div>
            <w:div w:id="1803183895">
              <w:marLeft w:val="0"/>
              <w:marRight w:val="0"/>
              <w:marTop w:val="0"/>
              <w:marBottom w:val="0"/>
              <w:divBdr>
                <w:top w:val="none" w:sz="0" w:space="0" w:color="auto"/>
                <w:left w:val="none" w:sz="0" w:space="0" w:color="auto"/>
                <w:bottom w:val="none" w:sz="0" w:space="0" w:color="auto"/>
                <w:right w:val="none" w:sz="0" w:space="0" w:color="auto"/>
              </w:divBdr>
            </w:div>
            <w:div w:id="287857271">
              <w:marLeft w:val="0"/>
              <w:marRight w:val="0"/>
              <w:marTop w:val="0"/>
              <w:marBottom w:val="0"/>
              <w:divBdr>
                <w:top w:val="none" w:sz="0" w:space="0" w:color="auto"/>
                <w:left w:val="none" w:sz="0" w:space="0" w:color="auto"/>
                <w:bottom w:val="none" w:sz="0" w:space="0" w:color="auto"/>
                <w:right w:val="none" w:sz="0" w:space="0" w:color="auto"/>
              </w:divBdr>
            </w:div>
            <w:div w:id="775906258">
              <w:marLeft w:val="0"/>
              <w:marRight w:val="0"/>
              <w:marTop w:val="0"/>
              <w:marBottom w:val="0"/>
              <w:divBdr>
                <w:top w:val="none" w:sz="0" w:space="0" w:color="auto"/>
                <w:left w:val="none" w:sz="0" w:space="0" w:color="auto"/>
                <w:bottom w:val="none" w:sz="0" w:space="0" w:color="auto"/>
                <w:right w:val="none" w:sz="0" w:space="0" w:color="auto"/>
              </w:divBdr>
            </w:div>
            <w:div w:id="569080650">
              <w:marLeft w:val="0"/>
              <w:marRight w:val="0"/>
              <w:marTop w:val="0"/>
              <w:marBottom w:val="0"/>
              <w:divBdr>
                <w:top w:val="none" w:sz="0" w:space="0" w:color="auto"/>
                <w:left w:val="none" w:sz="0" w:space="0" w:color="auto"/>
                <w:bottom w:val="none" w:sz="0" w:space="0" w:color="auto"/>
                <w:right w:val="none" w:sz="0" w:space="0" w:color="auto"/>
              </w:divBdr>
            </w:div>
            <w:div w:id="1968272620">
              <w:marLeft w:val="0"/>
              <w:marRight w:val="0"/>
              <w:marTop w:val="0"/>
              <w:marBottom w:val="0"/>
              <w:divBdr>
                <w:top w:val="none" w:sz="0" w:space="0" w:color="auto"/>
                <w:left w:val="none" w:sz="0" w:space="0" w:color="auto"/>
                <w:bottom w:val="none" w:sz="0" w:space="0" w:color="auto"/>
                <w:right w:val="none" w:sz="0" w:space="0" w:color="auto"/>
              </w:divBdr>
            </w:div>
            <w:div w:id="943071283">
              <w:marLeft w:val="0"/>
              <w:marRight w:val="0"/>
              <w:marTop w:val="0"/>
              <w:marBottom w:val="0"/>
              <w:divBdr>
                <w:top w:val="none" w:sz="0" w:space="0" w:color="auto"/>
                <w:left w:val="none" w:sz="0" w:space="0" w:color="auto"/>
                <w:bottom w:val="none" w:sz="0" w:space="0" w:color="auto"/>
                <w:right w:val="none" w:sz="0" w:space="0" w:color="auto"/>
              </w:divBdr>
            </w:div>
            <w:div w:id="1720200088">
              <w:marLeft w:val="0"/>
              <w:marRight w:val="0"/>
              <w:marTop w:val="0"/>
              <w:marBottom w:val="0"/>
              <w:divBdr>
                <w:top w:val="none" w:sz="0" w:space="0" w:color="auto"/>
                <w:left w:val="none" w:sz="0" w:space="0" w:color="auto"/>
                <w:bottom w:val="none" w:sz="0" w:space="0" w:color="auto"/>
                <w:right w:val="none" w:sz="0" w:space="0" w:color="auto"/>
              </w:divBdr>
            </w:div>
            <w:div w:id="1991980883">
              <w:marLeft w:val="0"/>
              <w:marRight w:val="0"/>
              <w:marTop w:val="0"/>
              <w:marBottom w:val="0"/>
              <w:divBdr>
                <w:top w:val="none" w:sz="0" w:space="0" w:color="auto"/>
                <w:left w:val="none" w:sz="0" w:space="0" w:color="auto"/>
                <w:bottom w:val="none" w:sz="0" w:space="0" w:color="auto"/>
                <w:right w:val="none" w:sz="0" w:space="0" w:color="auto"/>
              </w:divBdr>
            </w:div>
            <w:div w:id="1890144354">
              <w:marLeft w:val="0"/>
              <w:marRight w:val="0"/>
              <w:marTop w:val="0"/>
              <w:marBottom w:val="0"/>
              <w:divBdr>
                <w:top w:val="none" w:sz="0" w:space="0" w:color="auto"/>
                <w:left w:val="none" w:sz="0" w:space="0" w:color="auto"/>
                <w:bottom w:val="none" w:sz="0" w:space="0" w:color="auto"/>
                <w:right w:val="none" w:sz="0" w:space="0" w:color="auto"/>
              </w:divBdr>
            </w:div>
            <w:div w:id="1829904761">
              <w:marLeft w:val="0"/>
              <w:marRight w:val="0"/>
              <w:marTop w:val="0"/>
              <w:marBottom w:val="0"/>
              <w:divBdr>
                <w:top w:val="none" w:sz="0" w:space="0" w:color="auto"/>
                <w:left w:val="none" w:sz="0" w:space="0" w:color="auto"/>
                <w:bottom w:val="none" w:sz="0" w:space="0" w:color="auto"/>
                <w:right w:val="none" w:sz="0" w:space="0" w:color="auto"/>
              </w:divBdr>
            </w:div>
            <w:div w:id="906109727">
              <w:marLeft w:val="0"/>
              <w:marRight w:val="0"/>
              <w:marTop w:val="0"/>
              <w:marBottom w:val="0"/>
              <w:divBdr>
                <w:top w:val="none" w:sz="0" w:space="0" w:color="auto"/>
                <w:left w:val="none" w:sz="0" w:space="0" w:color="auto"/>
                <w:bottom w:val="none" w:sz="0" w:space="0" w:color="auto"/>
                <w:right w:val="none" w:sz="0" w:space="0" w:color="auto"/>
              </w:divBdr>
            </w:div>
            <w:div w:id="2137989483">
              <w:marLeft w:val="0"/>
              <w:marRight w:val="0"/>
              <w:marTop w:val="0"/>
              <w:marBottom w:val="0"/>
              <w:divBdr>
                <w:top w:val="none" w:sz="0" w:space="0" w:color="auto"/>
                <w:left w:val="none" w:sz="0" w:space="0" w:color="auto"/>
                <w:bottom w:val="none" w:sz="0" w:space="0" w:color="auto"/>
                <w:right w:val="none" w:sz="0" w:space="0" w:color="auto"/>
              </w:divBdr>
            </w:div>
            <w:div w:id="289942245">
              <w:marLeft w:val="0"/>
              <w:marRight w:val="0"/>
              <w:marTop w:val="0"/>
              <w:marBottom w:val="0"/>
              <w:divBdr>
                <w:top w:val="none" w:sz="0" w:space="0" w:color="auto"/>
                <w:left w:val="none" w:sz="0" w:space="0" w:color="auto"/>
                <w:bottom w:val="none" w:sz="0" w:space="0" w:color="auto"/>
                <w:right w:val="none" w:sz="0" w:space="0" w:color="auto"/>
              </w:divBdr>
            </w:div>
            <w:div w:id="381565085">
              <w:marLeft w:val="0"/>
              <w:marRight w:val="0"/>
              <w:marTop w:val="0"/>
              <w:marBottom w:val="0"/>
              <w:divBdr>
                <w:top w:val="none" w:sz="0" w:space="0" w:color="auto"/>
                <w:left w:val="none" w:sz="0" w:space="0" w:color="auto"/>
                <w:bottom w:val="none" w:sz="0" w:space="0" w:color="auto"/>
                <w:right w:val="none" w:sz="0" w:space="0" w:color="auto"/>
              </w:divBdr>
            </w:div>
            <w:div w:id="40256082">
              <w:marLeft w:val="0"/>
              <w:marRight w:val="0"/>
              <w:marTop w:val="0"/>
              <w:marBottom w:val="0"/>
              <w:divBdr>
                <w:top w:val="none" w:sz="0" w:space="0" w:color="auto"/>
                <w:left w:val="none" w:sz="0" w:space="0" w:color="auto"/>
                <w:bottom w:val="none" w:sz="0" w:space="0" w:color="auto"/>
                <w:right w:val="none" w:sz="0" w:space="0" w:color="auto"/>
              </w:divBdr>
            </w:div>
            <w:div w:id="1311516456">
              <w:marLeft w:val="0"/>
              <w:marRight w:val="0"/>
              <w:marTop w:val="0"/>
              <w:marBottom w:val="0"/>
              <w:divBdr>
                <w:top w:val="none" w:sz="0" w:space="0" w:color="auto"/>
                <w:left w:val="none" w:sz="0" w:space="0" w:color="auto"/>
                <w:bottom w:val="none" w:sz="0" w:space="0" w:color="auto"/>
                <w:right w:val="none" w:sz="0" w:space="0" w:color="auto"/>
              </w:divBdr>
            </w:div>
            <w:div w:id="777066876">
              <w:marLeft w:val="0"/>
              <w:marRight w:val="0"/>
              <w:marTop w:val="0"/>
              <w:marBottom w:val="0"/>
              <w:divBdr>
                <w:top w:val="none" w:sz="0" w:space="0" w:color="auto"/>
                <w:left w:val="none" w:sz="0" w:space="0" w:color="auto"/>
                <w:bottom w:val="none" w:sz="0" w:space="0" w:color="auto"/>
                <w:right w:val="none" w:sz="0" w:space="0" w:color="auto"/>
              </w:divBdr>
            </w:div>
            <w:div w:id="674115930">
              <w:marLeft w:val="0"/>
              <w:marRight w:val="0"/>
              <w:marTop w:val="0"/>
              <w:marBottom w:val="0"/>
              <w:divBdr>
                <w:top w:val="none" w:sz="0" w:space="0" w:color="auto"/>
                <w:left w:val="none" w:sz="0" w:space="0" w:color="auto"/>
                <w:bottom w:val="none" w:sz="0" w:space="0" w:color="auto"/>
                <w:right w:val="none" w:sz="0" w:space="0" w:color="auto"/>
              </w:divBdr>
            </w:div>
            <w:div w:id="1793135782">
              <w:marLeft w:val="0"/>
              <w:marRight w:val="0"/>
              <w:marTop w:val="0"/>
              <w:marBottom w:val="0"/>
              <w:divBdr>
                <w:top w:val="none" w:sz="0" w:space="0" w:color="auto"/>
                <w:left w:val="none" w:sz="0" w:space="0" w:color="auto"/>
                <w:bottom w:val="none" w:sz="0" w:space="0" w:color="auto"/>
                <w:right w:val="none" w:sz="0" w:space="0" w:color="auto"/>
              </w:divBdr>
            </w:div>
            <w:div w:id="774710543">
              <w:marLeft w:val="0"/>
              <w:marRight w:val="0"/>
              <w:marTop w:val="0"/>
              <w:marBottom w:val="0"/>
              <w:divBdr>
                <w:top w:val="none" w:sz="0" w:space="0" w:color="auto"/>
                <w:left w:val="none" w:sz="0" w:space="0" w:color="auto"/>
                <w:bottom w:val="none" w:sz="0" w:space="0" w:color="auto"/>
                <w:right w:val="none" w:sz="0" w:space="0" w:color="auto"/>
              </w:divBdr>
            </w:div>
            <w:div w:id="1148090260">
              <w:marLeft w:val="0"/>
              <w:marRight w:val="0"/>
              <w:marTop w:val="0"/>
              <w:marBottom w:val="0"/>
              <w:divBdr>
                <w:top w:val="none" w:sz="0" w:space="0" w:color="auto"/>
                <w:left w:val="none" w:sz="0" w:space="0" w:color="auto"/>
                <w:bottom w:val="none" w:sz="0" w:space="0" w:color="auto"/>
                <w:right w:val="none" w:sz="0" w:space="0" w:color="auto"/>
              </w:divBdr>
            </w:div>
            <w:div w:id="488257608">
              <w:marLeft w:val="0"/>
              <w:marRight w:val="0"/>
              <w:marTop w:val="0"/>
              <w:marBottom w:val="0"/>
              <w:divBdr>
                <w:top w:val="none" w:sz="0" w:space="0" w:color="auto"/>
                <w:left w:val="none" w:sz="0" w:space="0" w:color="auto"/>
                <w:bottom w:val="none" w:sz="0" w:space="0" w:color="auto"/>
                <w:right w:val="none" w:sz="0" w:space="0" w:color="auto"/>
              </w:divBdr>
            </w:div>
            <w:div w:id="956447665">
              <w:marLeft w:val="0"/>
              <w:marRight w:val="0"/>
              <w:marTop w:val="0"/>
              <w:marBottom w:val="0"/>
              <w:divBdr>
                <w:top w:val="none" w:sz="0" w:space="0" w:color="auto"/>
                <w:left w:val="none" w:sz="0" w:space="0" w:color="auto"/>
                <w:bottom w:val="none" w:sz="0" w:space="0" w:color="auto"/>
                <w:right w:val="none" w:sz="0" w:space="0" w:color="auto"/>
              </w:divBdr>
            </w:div>
            <w:div w:id="2127002451">
              <w:marLeft w:val="0"/>
              <w:marRight w:val="0"/>
              <w:marTop w:val="0"/>
              <w:marBottom w:val="0"/>
              <w:divBdr>
                <w:top w:val="none" w:sz="0" w:space="0" w:color="auto"/>
                <w:left w:val="none" w:sz="0" w:space="0" w:color="auto"/>
                <w:bottom w:val="none" w:sz="0" w:space="0" w:color="auto"/>
                <w:right w:val="none" w:sz="0" w:space="0" w:color="auto"/>
              </w:divBdr>
            </w:div>
            <w:div w:id="1138839709">
              <w:marLeft w:val="0"/>
              <w:marRight w:val="0"/>
              <w:marTop w:val="0"/>
              <w:marBottom w:val="0"/>
              <w:divBdr>
                <w:top w:val="none" w:sz="0" w:space="0" w:color="auto"/>
                <w:left w:val="none" w:sz="0" w:space="0" w:color="auto"/>
                <w:bottom w:val="none" w:sz="0" w:space="0" w:color="auto"/>
                <w:right w:val="none" w:sz="0" w:space="0" w:color="auto"/>
              </w:divBdr>
            </w:div>
            <w:div w:id="728308836">
              <w:marLeft w:val="0"/>
              <w:marRight w:val="0"/>
              <w:marTop w:val="0"/>
              <w:marBottom w:val="0"/>
              <w:divBdr>
                <w:top w:val="none" w:sz="0" w:space="0" w:color="auto"/>
                <w:left w:val="none" w:sz="0" w:space="0" w:color="auto"/>
                <w:bottom w:val="none" w:sz="0" w:space="0" w:color="auto"/>
                <w:right w:val="none" w:sz="0" w:space="0" w:color="auto"/>
              </w:divBdr>
            </w:div>
            <w:div w:id="1127434734">
              <w:marLeft w:val="0"/>
              <w:marRight w:val="0"/>
              <w:marTop w:val="0"/>
              <w:marBottom w:val="0"/>
              <w:divBdr>
                <w:top w:val="none" w:sz="0" w:space="0" w:color="auto"/>
                <w:left w:val="none" w:sz="0" w:space="0" w:color="auto"/>
                <w:bottom w:val="none" w:sz="0" w:space="0" w:color="auto"/>
                <w:right w:val="none" w:sz="0" w:space="0" w:color="auto"/>
              </w:divBdr>
            </w:div>
            <w:div w:id="1136338765">
              <w:marLeft w:val="0"/>
              <w:marRight w:val="0"/>
              <w:marTop w:val="0"/>
              <w:marBottom w:val="0"/>
              <w:divBdr>
                <w:top w:val="none" w:sz="0" w:space="0" w:color="auto"/>
                <w:left w:val="none" w:sz="0" w:space="0" w:color="auto"/>
                <w:bottom w:val="none" w:sz="0" w:space="0" w:color="auto"/>
                <w:right w:val="none" w:sz="0" w:space="0" w:color="auto"/>
              </w:divBdr>
            </w:div>
            <w:div w:id="1141075736">
              <w:marLeft w:val="0"/>
              <w:marRight w:val="0"/>
              <w:marTop w:val="0"/>
              <w:marBottom w:val="0"/>
              <w:divBdr>
                <w:top w:val="none" w:sz="0" w:space="0" w:color="auto"/>
                <w:left w:val="none" w:sz="0" w:space="0" w:color="auto"/>
                <w:bottom w:val="none" w:sz="0" w:space="0" w:color="auto"/>
                <w:right w:val="none" w:sz="0" w:space="0" w:color="auto"/>
              </w:divBdr>
            </w:div>
            <w:div w:id="532497237">
              <w:marLeft w:val="0"/>
              <w:marRight w:val="0"/>
              <w:marTop w:val="0"/>
              <w:marBottom w:val="0"/>
              <w:divBdr>
                <w:top w:val="none" w:sz="0" w:space="0" w:color="auto"/>
                <w:left w:val="none" w:sz="0" w:space="0" w:color="auto"/>
                <w:bottom w:val="none" w:sz="0" w:space="0" w:color="auto"/>
                <w:right w:val="none" w:sz="0" w:space="0" w:color="auto"/>
              </w:divBdr>
            </w:div>
            <w:div w:id="522211378">
              <w:marLeft w:val="0"/>
              <w:marRight w:val="0"/>
              <w:marTop w:val="0"/>
              <w:marBottom w:val="0"/>
              <w:divBdr>
                <w:top w:val="none" w:sz="0" w:space="0" w:color="auto"/>
                <w:left w:val="none" w:sz="0" w:space="0" w:color="auto"/>
                <w:bottom w:val="none" w:sz="0" w:space="0" w:color="auto"/>
                <w:right w:val="none" w:sz="0" w:space="0" w:color="auto"/>
              </w:divBdr>
            </w:div>
            <w:div w:id="937179809">
              <w:marLeft w:val="0"/>
              <w:marRight w:val="0"/>
              <w:marTop w:val="0"/>
              <w:marBottom w:val="0"/>
              <w:divBdr>
                <w:top w:val="none" w:sz="0" w:space="0" w:color="auto"/>
                <w:left w:val="none" w:sz="0" w:space="0" w:color="auto"/>
                <w:bottom w:val="none" w:sz="0" w:space="0" w:color="auto"/>
                <w:right w:val="none" w:sz="0" w:space="0" w:color="auto"/>
              </w:divBdr>
            </w:div>
            <w:div w:id="1122118968">
              <w:marLeft w:val="0"/>
              <w:marRight w:val="0"/>
              <w:marTop w:val="0"/>
              <w:marBottom w:val="0"/>
              <w:divBdr>
                <w:top w:val="none" w:sz="0" w:space="0" w:color="auto"/>
                <w:left w:val="none" w:sz="0" w:space="0" w:color="auto"/>
                <w:bottom w:val="none" w:sz="0" w:space="0" w:color="auto"/>
                <w:right w:val="none" w:sz="0" w:space="0" w:color="auto"/>
              </w:divBdr>
            </w:div>
            <w:div w:id="1573466393">
              <w:marLeft w:val="0"/>
              <w:marRight w:val="0"/>
              <w:marTop w:val="0"/>
              <w:marBottom w:val="0"/>
              <w:divBdr>
                <w:top w:val="none" w:sz="0" w:space="0" w:color="auto"/>
                <w:left w:val="none" w:sz="0" w:space="0" w:color="auto"/>
                <w:bottom w:val="none" w:sz="0" w:space="0" w:color="auto"/>
                <w:right w:val="none" w:sz="0" w:space="0" w:color="auto"/>
              </w:divBdr>
            </w:div>
            <w:div w:id="684553185">
              <w:marLeft w:val="0"/>
              <w:marRight w:val="0"/>
              <w:marTop w:val="0"/>
              <w:marBottom w:val="0"/>
              <w:divBdr>
                <w:top w:val="none" w:sz="0" w:space="0" w:color="auto"/>
                <w:left w:val="none" w:sz="0" w:space="0" w:color="auto"/>
                <w:bottom w:val="none" w:sz="0" w:space="0" w:color="auto"/>
                <w:right w:val="none" w:sz="0" w:space="0" w:color="auto"/>
              </w:divBdr>
            </w:div>
            <w:div w:id="845829273">
              <w:marLeft w:val="0"/>
              <w:marRight w:val="0"/>
              <w:marTop w:val="0"/>
              <w:marBottom w:val="0"/>
              <w:divBdr>
                <w:top w:val="none" w:sz="0" w:space="0" w:color="auto"/>
                <w:left w:val="none" w:sz="0" w:space="0" w:color="auto"/>
                <w:bottom w:val="none" w:sz="0" w:space="0" w:color="auto"/>
                <w:right w:val="none" w:sz="0" w:space="0" w:color="auto"/>
              </w:divBdr>
            </w:div>
            <w:div w:id="74935817">
              <w:marLeft w:val="0"/>
              <w:marRight w:val="0"/>
              <w:marTop w:val="0"/>
              <w:marBottom w:val="0"/>
              <w:divBdr>
                <w:top w:val="none" w:sz="0" w:space="0" w:color="auto"/>
                <w:left w:val="none" w:sz="0" w:space="0" w:color="auto"/>
                <w:bottom w:val="none" w:sz="0" w:space="0" w:color="auto"/>
                <w:right w:val="none" w:sz="0" w:space="0" w:color="auto"/>
              </w:divBdr>
            </w:div>
            <w:div w:id="186607774">
              <w:marLeft w:val="0"/>
              <w:marRight w:val="0"/>
              <w:marTop w:val="0"/>
              <w:marBottom w:val="0"/>
              <w:divBdr>
                <w:top w:val="none" w:sz="0" w:space="0" w:color="auto"/>
                <w:left w:val="none" w:sz="0" w:space="0" w:color="auto"/>
                <w:bottom w:val="none" w:sz="0" w:space="0" w:color="auto"/>
                <w:right w:val="none" w:sz="0" w:space="0" w:color="auto"/>
              </w:divBdr>
            </w:div>
            <w:div w:id="241762696">
              <w:marLeft w:val="0"/>
              <w:marRight w:val="0"/>
              <w:marTop w:val="0"/>
              <w:marBottom w:val="0"/>
              <w:divBdr>
                <w:top w:val="none" w:sz="0" w:space="0" w:color="auto"/>
                <w:left w:val="none" w:sz="0" w:space="0" w:color="auto"/>
                <w:bottom w:val="none" w:sz="0" w:space="0" w:color="auto"/>
                <w:right w:val="none" w:sz="0" w:space="0" w:color="auto"/>
              </w:divBdr>
            </w:div>
            <w:div w:id="1367288482">
              <w:marLeft w:val="0"/>
              <w:marRight w:val="0"/>
              <w:marTop w:val="0"/>
              <w:marBottom w:val="0"/>
              <w:divBdr>
                <w:top w:val="none" w:sz="0" w:space="0" w:color="auto"/>
                <w:left w:val="none" w:sz="0" w:space="0" w:color="auto"/>
                <w:bottom w:val="none" w:sz="0" w:space="0" w:color="auto"/>
                <w:right w:val="none" w:sz="0" w:space="0" w:color="auto"/>
              </w:divBdr>
            </w:div>
            <w:div w:id="522865449">
              <w:marLeft w:val="0"/>
              <w:marRight w:val="0"/>
              <w:marTop w:val="0"/>
              <w:marBottom w:val="0"/>
              <w:divBdr>
                <w:top w:val="none" w:sz="0" w:space="0" w:color="auto"/>
                <w:left w:val="none" w:sz="0" w:space="0" w:color="auto"/>
                <w:bottom w:val="none" w:sz="0" w:space="0" w:color="auto"/>
                <w:right w:val="none" w:sz="0" w:space="0" w:color="auto"/>
              </w:divBdr>
            </w:div>
            <w:div w:id="125246721">
              <w:marLeft w:val="0"/>
              <w:marRight w:val="0"/>
              <w:marTop w:val="0"/>
              <w:marBottom w:val="0"/>
              <w:divBdr>
                <w:top w:val="none" w:sz="0" w:space="0" w:color="auto"/>
                <w:left w:val="none" w:sz="0" w:space="0" w:color="auto"/>
                <w:bottom w:val="none" w:sz="0" w:space="0" w:color="auto"/>
                <w:right w:val="none" w:sz="0" w:space="0" w:color="auto"/>
              </w:divBdr>
            </w:div>
            <w:div w:id="1216161537">
              <w:marLeft w:val="0"/>
              <w:marRight w:val="0"/>
              <w:marTop w:val="0"/>
              <w:marBottom w:val="0"/>
              <w:divBdr>
                <w:top w:val="none" w:sz="0" w:space="0" w:color="auto"/>
                <w:left w:val="none" w:sz="0" w:space="0" w:color="auto"/>
                <w:bottom w:val="none" w:sz="0" w:space="0" w:color="auto"/>
                <w:right w:val="none" w:sz="0" w:space="0" w:color="auto"/>
              </w:divBdr>
            </w:div>
            <w:div w:id="1628663798">
              <w:marLeft w:val="0"/>
              <w:marRight w:val="0"/>
              <w:marTop w:val="0"/>
              <w:marBottom w:val="0"/>
              <w:divBdr>
                <w:top w:val="none" w:sz="0" w:space="0" w:color="auto"/>
                <w:left w:val="none" w:sz="0" w:space="0" w:color="auto"/>
                <w:bottom w:val="none" w:sz="0" w:space="0" w:color="auto"/>
                <w:right w:val="none" w:sz="0" w:space="0" w:color="auto"/>
              </w:divBdr>
            </w:div>
            <w:div w:id="1324746976">
              <w:marLeft w:val="0"/>
              <w:marRight w:val="0"/>
              <w:marTop w:val="0"/>
              <w:marBottom w:val="0"/>
              <w:divBdr>
                <w:top w:val="none" w:sz="0" w:space="0" w:color="auto"/>
                <w:left w:val="none" w:sz="0" w:space="0" w:color="auto"/>
                <w:bottom w:val="none" w:sz="0" w:space="0" w:color="auto"/>
                <w:right w:val="none" w:sz="0" w:space="0" w:color="auto"/>
              </w:divBdr>
            </w:div>
            <w:div w:id="346106141">
              <w:marLeft w:val="0"/>
              <w:marRight w:val="0"/>
              <w:marTop w:val="0"/>
              <w:marBottom w:val="0"/>
              <w:divBdr>
                <w:top w:val="none" w:sz="0" w:space="0" w:color="auto"/>
                <w:left w:val="none" w:sz="0" w:space="0" w:color="auto"/>
                <w:bottom w:val="none" w:sz="0" w:space="0" w:color="auto"/>
                <w:right w:val="none" w:sz="0" w:space="0" w:color="auto"/>
              </w:divBdr>
            </w:div>
            <w:div w:id="1238829163">
              <w:marLeft w:val="0"/>
              <w:marRight w:val="0"/>
              <w:marTop w:val="0"/>
              <w:marBottom w:val="0"/>
              <w:divBdr>
                <w:top w:val="none" w:sz="0" w:space="0" w:color="auto"/>
                <w:left w:val="none" w:sz="0" w:space="0" w:color="auto"/>
                <w:bottom w:val="none" w:sz="0" w:space="0" w:color="auto"/>
                <w:right w:val="none" w:sz="0" w:space="0" w:color="auto"/>
              </w:divBdr>
            </w:div>
            <w:div w:id="1992753342">
              <w:marLeft w:val="0"/>
              <w:marRight w:val="0"/>
              <w:marTop w:val="0"/>
              <w:marBottom w:val="0"/>
              <w:divBdr>
                <w:top w:val="none" w:sz="0" w:space="0" w:color="auto"/>
                <w:left w:val="none" w:sz="0" w:space="0" w:color="auto"/>
                <w:bottom w:val="none" w:sz="0" w:space="0" w:color="auto"/>
                <w:right w:val="none" w:sz="0" w:space="0" w:color="auto"/>
              </w:divBdr>
            </w:div>
            <w:div w:id="1936009789">
              <w:marLeft w:val="0"/>
              <w:marRight w:val="0"/>
              <w:marTop w:val="0"/>
              <w:marBottom w:val="0"/>
              <w:divBdr>
                <w:top w:val="none" w:sz="0" w:space="0" w:color="auto"/>
                <w:left w:val="none" w:sz="0" w:space="0" w:color="auto"/>
                <w:bottom w:val="none" w:sz="0" w:space="0" w:color="auto"/>
                <w:right w:val="none" w:sz="0" w:space="0" w:color="auto"/>
              </w:divBdr>
            </w:div>
            <w:div w:id="1751195383">
              <w:marLeft w:val="0"/>
              <w:marRight w:val="0"/>
              <w:marTop w:val="0"/>
              <w:marBottom w:val="0"/>
              <w:divBdr>
                <w:top w:val="none" w:sz="0" w:space="0" w:color="auto"/>
                <w:left w:val="none" w:sz="0" w:space="0" w:color="auto"/>
                <w:bottom w:val="none" w:sz="0" w:space="0" w:color="auto"/>
                <w:right w:val="none" w:sz="0" w:space="0" w:color="auto"/>
              </w:divBdr>
            </w:div>
            <w:div w:id="2057197600">
              <w:marLeft w:val="0"/>
              <w:marRight w:val="0"/>
              <w:marTop w:val="0"/>
              <w:marBottom w:val="0"/>
              <w:divBdr>
                <w:top w:val="none" w:sz="0" w:space="0" w:color="auto"/>
                <w:left w:val="none" w:sz="0" w:space="0" w:color="auto"/>
                <w:bottom w:val="none" w:sz="0" w:space="0" w:color="auto"/>
                <w:right w:val="none" w:sz="0" w:space="0" w:color="auto"/>
              </w:divBdr>
            </w:div>
            <w:div w:id="1509782827">
              <w:marLeft w:val="0"/>
              <w:marRight w:val="0"/>
              <w:marTop w:val="0"/>
              <w:marBottom w:val="0"/>
              <w:divBdr>
                <w:top w:val="none" w:sz="0" w:space="0" w:color="auto"/>
                <w:left w:val="none" w:sz="0" w:space="0" w:color="auto"/>
                <w:bottom w:val="none" w:sz="0" w:space="0" w:color="auto"/>
                <w:right w:val="none" w:sz="0" w:space="0" w:color="auto"/>
              </w:divBdr>
            </w:div>
            <w:div w:id="282856129">
              <w:marLeft w:val="0"/>
              <w:marRight w:val="0"/>
              <w:marTop w:val="0"/>
              <w:marBottom w:val="0"/>
              <w:divBdr>
                <w:top w:val="none" w:sz="0" w:space="0" w:color="auto"/>
                <w:left w:val="none" w:sz="0" w:space="0" w:color="auto"/>
                <w:bottom w:val="none" w:sz="0" w:space="0" w:color="auto"/>
                <w:right w:val="none" w:sz="0" w:space="0" w:color="auto"/>
              </w:divBdr>
            </w:div>
            <w:div w:id="472598643">
              <w:marLeft w:val="0"/>
              <w:marRight w:val="0"/>
              <w:marTop w:val="0"/>
              <w:marBottom w:val="0"/>
              <w:divBdr>
                <w:top w:val="none" w:sz="0" w:space="0" w:color="auto"/>
                <w:left w:val="none" w:sz="0" w:space="0" w:color="auto"/>
                <w:bottom w:val="none" w:sz="0" w:space="0" w:color="auto"/>
                <w:right w:val="none" w:sz="0" w:space="0" w:color="auto"/>
              </w:divBdr>
            </w:div>
            <w:div w:id="1911844423">
              <w:marLeft w:val="0"/>
              <w:marRight w:val="0"/>
              <w:marTop w:val="0"/>
              <w:marBottom w:val="0"/>
              <w:divBdr>
                <w:top w:val="none" w:sz="0" w:space="0" w:color="auto"/>
                <w:left w:val="none" w:sz="0" w:space="0" w:color="auto"/>
                <w:bottom w:val="none" w:sz="0" w:space="0" w:color="auto"/>
                <w:right w:val="none" w:sz="0" w:space="0" w:color="auto"/>
              </w:divBdr>
            </w:div>
            <w:div w:id="1020088689">
              <w:marLeft w:val="0"/>
              <w:marRight w:val="0"/>
              <w:marTop w:val="0"/>
              <w:marBottom w:val="0"/>
              <w:divBdr>
                <w:top w:val="none" w:sz="0" w:space="0" w:color="auto"/>
                <w:left w:val="none" w:sz="0" w:space="0" w:color="auto"/>
                <w:bottom w:val="none" w:sz="0" w:space="0" w:color="auto"/>
                <w:right w:val="none" w:sz="0" w:space="0" w:color="auto"/>
              </w:divBdr>
            </w:div>
            <w:div w:id="21135104">
              <w:marLeft w:val="0"/>
              <w:marRight w:val="0"/>
              <w:marTop w:val="0"/>
              <w:marBottom w:val="0"/>
              <w:divBdr>
                <w:top w:val="none" w:sz="0" w:space="0" w:color="auto"/>
                <w:left w:val="none" w:sz="0" w:space="0" w:color="auto"/>
                <w:bottom w:val="none" w:sz="0" w:space="0" w:color="auto"/>
                <w:right w:val="none" w:sz="0" w:space="0" w:color="auto"/>
              </w:divBdr>
            </w:div>
            <w:div w:id="1251160831">
              <w:marLeft w:val="0"/>
              <w:marRight w:val="0"/>
              <w:marTop w:val="0"/>
              <w:marBottom w:val="0"/>
              <w:divBdr>
                <w:top w:val="none" w:sz="0" w:space="0" w:color="auto"/>
                <w:left w:val="none" w:sz="0" w:space="0" w:color="auto"/>
                <w:bottom w:val="none" w:sz="0" w:space="0" w:color="auto"/>
                <w:right w:val="none" w:sz="0" w:space="0" w:color="auto"/>
              </w:divBdr>
            </w:div>
            <w:div w:id="1848520391">
              <w:marLeft w:val="0"/>
              <w:marRight w:val="0"/>
              <w:marTop w:val="0"/>
              <w:marBottom w:val="0"/>
              <w:divBdr>
                <w:top w:val="none" w:sz="0" w:space="0" w:color="auto"/>
                <w:left w:val="none" w:sz="0" w:space="0" w:color="auto"/>
                <w:bottom w:val="none" w:sz="0" w:space="0" w:color="auto"/>
                <w:right w:val="none" w:sz="0" w:space="0" w:color="auto"/>
              </w:divBdr>
            </w:div>
            <w:div w:id="377051713">
              <w:marLeft w:val="0"/>
              <w:marRight w:val="0"/>
              <w:marTop w:val="0"/>
              <w:marBottom w:val="0"/>
              <w:divBdr>
                <w:top w:val="none" w:sz="0" w:space="0" w:color="auto"/>
                <w:left w:val="none" w:sz="0" w:space="0" w:color="auto"/>
                <w:bottom w:val="none" w:sz="0" w:space="0" w:color="auto"/>
                <w:right w:val="none" w:sz="0" w:space="0" w:color="auto"/>
              </w:divBdr>
            </w:div>
            <w:div w:id="250743398">
              <w:marLeft w:val="0"/>
              <w:marRight w:val="0"/>
              <w:marTop w:val="0"/>
              <w:marBottom w:val="0"/>
              <w:divBdr>
                <w:top w:val="none" w:sz="0" w:space="0" w:color="auto"/>
                <w:left w:val="none" w:sz="0" w:space="0" w:color="auto"/>
                <w:bottom w:val="none" w:sz="0" w:space="0" w:color="auto"/>
                <w:right w:val="none" w:sz="0" w:space="0" w:color="auto"/>
              </w:divBdr>
            </w:div>
            <w:div w:id="1900895656">
              <w:marLeft w:val="0"/>
              <w:marRight w:val="0"/>
              <w:marTop w:val="0"/>
              <w:marBottom w:val="0"/>
              <w:divBdr>
                <w:top w:val="none" w:sz="0" w:space="0" w:color="auto"/>
                <w:left w:val="none" w:sz="0" w:space="0" w:color="auto"/>
                <w:bottom w:val="none" w:sz="0" w:space="0" w:color="auto"/>
                <w:right w:val="none" w:sz="0" w:space="0" w:color="auto"/>
              </w:divBdr>
            </w:div>
            <w:div w:id="641009453">
              <w:marLeft w:val="0"/>
              <w:marRight w:val="0"/>
              <w:marTop w:val="0"/>
              <w:marBottom w:val="0"/>
              <w:divBdr>
                <w:top w:val="none" w:sz="0" w:space="0" w:color="auto"/>
                <w:left w:val="none" w:sz="0" w:space="0" w:color="auto"/>
                <w:bottom w:val="none" w:sz="0" w:space="0" w:color="auto"/>
                <w:right w:val="none" w:sz="0" w:space="0" w:color="auto"/>
              </w:divBdr>
            </w:div>
            <w:div w:id="1305618672">
              <w:marLeft w:val="0"/>
              <w:marRight w:val="0"/>
              <w:marTop w:val="0"/>
              <w:marBottom w:val="0"/>
              <w:divBdr>
                <w:top w:val="none" w:sz="0" w:space="0" w:color="auto"/>
                <w:left w:val="none" w:sz="0" w:space="0" w:color="auto"/>
                <w:bottom w:val="none" w:sz="0" w:space="0" w:color="auto"/>
                <w:right w:val="none" w:sz="0" w:space="0" w:color="auto"/>
              </w:divBdr>
            </w:div>
            <w:div w:id="8526697">
              <w:marLeft w:val="0"/>
              <w:marRight w:val="0"/>
              <w:marTop w:val="0"/>
              <w:marBottom w:val="0"/>
              <w:divBdr>
                <w:top w:val="none" w:sz="0" w:space="0" w:color="auto"/>
                <w:left w:val="none" w:sz="0" w:space="0" w:color="auto"/>
                <w:bottom w:val="none" w:sz="0" w:space="0" w:color="auto"/>
                <w:right w:val="none" w:sz="0" w:space="0" w:color="auto"/>
              </w:divBdr>
            </w:div>
            <w:div w:id="649212614">
              <w:marLeft w:val="0"/>
              <w:marRight w:val="0"/>
              <w:marTop w:val="0"/>
              <w:marBottom w:val="0"/>
              <w:divBdr>
                <w:top w:val="none" w:sz="0" w:space="0" w:color="auto"/>
                <w:left w:val="none" w:sz="0" w:space="0" w:color="auto"/>
                <w:bottom w:val="none" w:sz="0" w:space="0" w:color="auto"/>
                <w:right w:val="none" w:sz="0" w:space="0" w:color="auto"/>
              </w:divBdr>
            </w:div>
            <w:div w:id="1685017097">
              <w:marLeft w:val="0"/>
              <w:marRight w:val="0"/>
              <w:marTop w:val="0"/>
              <w:marBottom w:val="0"/>
              <w:divBdr>
                <w:top w:val="none" w:sz="0" w:space="0" w:color="auto"/>
                <w:left w:val="none" w:sz="0" w:space="0" w:color="auto"/>
                <w:bottom w:val="none" w:sz="0" w:space="0" w:color="auto"/>
                <w:right w:val="none" w:sz="0" w:space="0" w:color="auto"/>
              </w:divBdr>
            </w:div>
            <w:div w:id="828792916">
              <w:marLeft w:val="0"/>
              <w:marRight w:val="0"/>
              <w:marTop w:val="0"/>
              <w:marBottom w:val="0"/>
              <w:divBdr>
                <w:top w:val="none" w:sz="0" w:space="0" w:color="auto"/>
                <w:left w:val="none" w:sz="0" w:space="0" w:color="auto"/>
                <w:bottom w:val="none" w:sz="0" w:space="0" w:color="auto"/>
                <w:right w:val="none" w:sz="0" w:space="0" w:color="auto"/>
              </w:divBdr>
            </w:div>
            <w:div w:id="266305054">
              <w:marLeft w:val="0"/>
              <w:marRight w:val="0"/>
              <w:marTop w:val="0"/>
              <w:marBottom w:val="0"/>
              <w:divBdr>
                <w:top w:val="none" w:sz="0" w:space="0" w:color="auto"/>
                <w:left w:val="none" w:sz="0" w:space="0" w:color="auto"/>
                <w:bottom w:val="none" w:sz="0" w:space="0" w:color="auto"/>
                <w:right w:val="none" w:sz="0" w:space="0" w:color="auto"/>
              </w:divBdr>
            </w:div>
            <w:div w:id="1669140785">
              <w:marLeft w:val="0"/>
              <w:marRight w:val="0"/>
              <w:marTop w:val="0"/>
              <w:marBottom w:val="0"/>
              <w:divBdr>
                <w:top w:val="none" w:sz="0" w:space="0" w:color="auto"/>
                <w:left w:val="none" w:sz="0" w:space="0" w:color="auto"/>
                <w:bottom w:val="none" w:sz="0" w:space="0" w:color="auto"/>
                <w:right w:val="none" w:sz="0" w:space="0" w:color="auto"/>
              </w:divBdr>
            </w:div>
            <w:div w:id="12386335">
              <w:marLeft w:val="0"/>
              <w:marRight w:val="0"/>
              <w:marTop w:val="0"/>
              <w:marBottom w:val="0"/>
              <w:divBdr>
                <w:top w:val="none" w:sz="0" w:space="0" w:color="auto"/>
                <w:left w:val="none" w:sz="0" w:space="0" w:color="auto"/>
                <w:bottom w:val="none" w:sz="0" w:space="0" w:color="auto"/>
                <w:right w:val="none" w:sz="0" w:space="0" w:color="auto"/>
              </w:divBdr>
            </w:div>
            <w:div w:id="732897459">
              <w:marLeft w:val="0"/>
              <w:marRight w:val="0"/>
              <w:marTop w:val="0"/>
              <w:marBottom w:val="0"/>
              <w:divBdr>
                <w:top w:val="none" w:sz="0" w:space="0" w:color="auto"/>
                <w:left w:val="none" w:sz="0" w:space="0" w:color="auto"/>
                <w:bottom w:val="none" w:sz="0" w:space="0" w:color="auto"/>
                <w:right w:val="none" w:sz="0" w:space="0" w:color="auto"/>
              </w:divBdr>
            </w:div>
            <w:div w:id="2052920670">
              <w:marLeft w:val="0"/>
              <w:marRight w:val="0"/>
              <w:marTop w:val="0"/>
              <w:marBottom w:val="0"/>
              <w:divBdr>
                <w:top w:val="none" w:sz="0" w:space="0" w:color="auto"/>
                <w:left w:val="none" w:sz="0" w:space="0" w:color="auto"/>
                <w:bottom w:val="none" w:sz="0" w:space="0" w:color="auto"/>
                <w:right w:val="none" w:sz="0" w:space="0" w:color="auto"/>
              </w:divBdr>
            </w:div>
            <w:div w:id="1326132881">
              <w:marLeft w:val="0"/>
              <w:marRight w:val="0"/>
              <w:marTop w:val="0"/>
              <w:marBottom w:val="0"/>
              <w:divBdr>
                <w:top w:val="none" w:sz="0" w:space="0" w:color="auto"/>
                <w:left w:val="none" w:sz="0" w:space="0" w:color="auto"/>
                <w:bottom w:val="none" w:sz="0" w:space="0" w:color="auto"/>
                <w:right w:val="none" w:sz="0" w:space="0" w:color="auto"/>
              </w:divBdr>
            </w:div>
            <w:div w:id="250968466">
              <w:marLeft w:val="0"/>
              <w:marRight w:val="0"/>
              <w:marTop w:val="0"/>
              <w:marBottom w:val="0"/>
              <w:divBdr>
                <w:top w:val="none" w:sz="0" w:space="0" w:color="auto"/>
                <w:left w:val="none" w:sz="0" w:space="0" w:color="auto"/>
                <w:bottom w:val="none" w:sz="0" w:space="0" w:color="auto"/>
                <w:right w:val="none" w:sz="0" w:space="0" w:color="auto"/>
              </w:divBdr>
            </w:div>
            <w:div w:id="185296067">
              <w:marLeft w:val="0"/>
              <w:marRight w:val="0"/>
              <w:marTop w:val="0"/>
              <w:marBottom w:val="0"/>
              <w:divBdr>
                <w:top w:val="none" w:sz="0" w:space="0" w:color="auto"/>
                <w:left w:val="none" w:sz="0" w:space="0" w:color="auto"/>
                <w:bottom w:val="none" w:sz="0" w:space="0" w:color="auto"/>
                <w:right w:val="none" w:sz="0" w:space="0" w:color="auto"/>
              </w:divBdr>
            </w:div>
            <w:div w:id="957832603">
              <w:marLeft w:val="0"/>
              <w:marRight w:val="0"/>
              <w:marTop w:val="0"/>
              <w:marBottom w:val="0"/>
              <w:divBdr>
                <w:top w:val="none" w:sz="0" w:space="0" w:color="auto"/>
                <w:left w:val="none" w:sz="0" w:space="0" w:color="auto"/>
                <w:bottom w:val="none" w:sz="0" w:space="0" w:color="auto"/>
                <w:right w:val="none" w:sz="0" w:space="0" w:color="auto"/>
              </w:divBdr>
            </w:div>
            <w:div w:id="481507840">
              <w:marLeft w:val="0"/>
              <w:marRight w:val="0"/>
              <w:marTop w:val="0"/>
              <w:marBottom w:val="0"/>
              <w:divBdr>
                <w:top w:val="none" w:sz="0" w:space="0" w:color="auto"/>
                <w:left w:val="none" w:sz="0" w:space="0" w:color="auto"/>
                <w:bottom w:val="none" w:sz="0" w:space="0" w:color="auto"/>
                <w:right w:val="none" w:sz="0" w:space="0" w:color="auto"/>
              </w:divBdr>
            </w:div>
            <w:div w:id="498229950">
              <w:marLeft w:val="0"/>
              <w:marRight w:val="0"/>
              <w:marTop w:val="0"/>
              <w:marBottom w:val="0"/>
              <w:divBdr>
                <w:top w:val="none" w:sz="0" w:space="0" w:color="auto"/>
                <w:left w:val="none" w:sz="0" w:space="0" w:color="auto"/>
                <w:bottom w:val="none" w:sz="0" w:space="0" w:color="auto"/>
                <w:right w:val="none" w:sz="0" w:space="0" w:color="auto"/>
              </w:divBdr>
            </w:div>
            <w:div w:id="975262439">
              <w:marLeft w:val="0"/>
              <w:marRight w:val="0"/>
              <w:marTop w:val="0"/>
              <w:marBottom w:val="0"/>
              <w:divBdr>
                <w:top w:val="none" w:sz="0" w:space="0" w:color="auto"/>
                <w:left w:val="none" w:sz="0" w:space="0" w:color="auto"/>
                <w:bottom w:val="none" w:sz="0" w:space="0" w:color="auto"/>
                <w:right w:val="none" w:sz="0" w:space="0" w:color="auto"/>
              </w:divBdr>
            </w:div>
            <w:div w:id="199709110">
              <w:marLeft w:val="0"/>
              <w:marRight w:val="0"/>
              <w:marTop w:val="0"/>
              <w:marBottom w:val="0"/>
              <w:divBdr>
                <w:top w:val="none" w:sz="0" w:space="0" w:color="auto"/>
                <w:left w:val="none" w:sz="0" w:space="0" w:color="auto"/>
                <w:bottom w:val="none" w:sz="0" w:space="0" w:color="auto"/>
                <w:right w:val="none" w:sz="0" w:space="0" w:color="auto"/>
              </w:divBdr>
            </w:div>
            <w:div w:id="1458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6978">
      <w:bodyDiv w:val="1"/>
      <w:marLeft w:val="0"/>
      <w:marRight w:val="0"/>
      <w:marTop w:val="0"/>
      <w:marBottom w:val="0"/>
      <w:divBdr>
        <w:top w:val="none" w:sz="0" w:space="0" w:color="auto"/>
        <w:left w:val="none" w:sz="0" w:space="0" w:color="auto"/>
        <w:bottom w:val="none" w:sz="0" w:space="0" w:color="auto"/>
        <w:right w:val="none" w:sz="0" w:space="0" w:color="auto"/>
      </w:divBdr>
    </w:div>
    <w:div w:id="2059936252">
      <w:bodyDiv w:val="1"/>
      <w:marLeft w:val="0"/>
      <w:marRight w:val="0"/>
      <w:marTop w:val="0"/>
      <w:marBottom w:val="0"/>
      <w:divBdr>
        <w:top w:val="none" w:sz="0" w:space="0" w:color="auto"/>
        <w:left w:val="none" w:sz="0" w:space="0" w:color="auto"/>
        <w:bottom w:val="none" w:sz="0" w:space="0" w:color="auto"/>
        <w:right w:val="none" w:sz="0" w:space="0" w:color="auto"/>
      </w:divBdr>
    </w:div>
    <w:div w:id="208182885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905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psv.cz/cs/1664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registr.mpsv.cz/socreg" TargetMode="External"/><Relationship Id="rId14" Type="http://schemas.openxmlformats.org/officeDocument/2006/relationships/hyperlink" Target="http://www.mpsv.cz/cs/1866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2016\6_Pobytov&#233;%20soci&#225;ln&#237;%20slu&#382;by_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6\6_Za&#345;&#237;zen&#237;%20soci&#225;ln&#237;ch%20slu&#382;eb_2015.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F:\2016\6_Za&#345;&#237;zen&#237;%20soci&#225;ln&#237;ch%20slu&#382;eb_201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200603429244279E-2"/>
          <c:y val="0.10669386134276344"/>
          <c:w val="0.94478148175403309"/>
          <c:h val="0.69437569438308622"/>
        </c:manualLayout>
      </c:layout>
      <c:barChart>
        <c:barDir val="col"/>
        <c:grouping val="clustered"/>
        <c:varyColors val="0"/>
        <c:ser>
          <c:idx val="0"/>
          <c:order val="0"/>
          <c:tx>
            <c:strRef>
              <c:f>Graf_6.1!$L$21</c:f>
              <c:strCache>
                <c:ptCount val="1"/>
                <c:pt idx="0">
                  <c:v>2012</c:v>
                </c:pt>
              </c:strCache>
            </c:strRef>
          </c:tx>
          <c:spPr>
            <a:solidFill>
              <a:schemeClr val="accent2">
                <a:lumMod val="20000"/>
                <a:lumOff val="80000"/>
              </a:schemeClr>
            </a:solidFill>
            <a:ln>
              <a:solidFill>
                <a:schemeClr val="accent2">
                  <a:lumMod val="60000"/>
                  <a:lumOff val="40000"/>
                </a:schemeClr>
              </a:solidFill>
            </a:ln>
          </c:spPr>
          <c:invertIfNegative val="0"/>
          <c:cat>
            <c:strRef>
              <c:f>Graf_6.1!$M$4:$T$4</c:f>
              <c:strCache>
                <c:ptCount val="8"/>
                <c:pt idx="0">
                  <c:v>Týdenní
stacionáře</c:v>
                </c:pt>
                <c:pt idx="1">
                  <c:v>Domovy pro
osoby se
zdravotním
postižením
</c:v>
                </c:pt>
                <c:pt idx="2">
                  <c:v>Domovy
pro
seniory</c:v>
                </c:pt>
                <c:pt idx="3">
                  <c:v>Domovy se
zvláštním
režimem</c:v>
                </c:pt>
                <c:pt idx="4">
                  <c:v>Chráněné
bydlení</c:v>
                </c:pt>
                <c:pt idx="5">
                  <c:v>Azylové
domy</c:v>
                </c:pt>
                <c:pt idx="6">
                  <c:v>Domy na
půl cesty</c:v>
                </c:pt>
                <c:pt idx="7">
                  <c:v>Centra
sociálně
rehabilitačních
služeb</c:v>
                </c:pt>
              </c:strCache>
            </c:strRef>
          </c:cat>
          <c:val>
            <c:numRef>
              <c:f>Graf_6.1!$M$21:$T$21</c:f>
              <c:numCache>
                <c:formatCode>#,##0.00_ ;\-#,##0.00\ </c:formatCode>
                <c:ptCount val="8"/>
                <c:pt idx="0">
                  <c:v>0.24389469522519999</c:v>
                </c:pt>
                <c:pt idx="1">
                  <c:v>4.8656229874801991</c:v>
                </c:pt>
                <c:pt idx="2">
                  <c:v>10.19841402346</c:v>
                </c:pt>
                <c:pt idx="3">
                  <c:v>3.3437961019999998</c:v>
                </c:pt>
                <c:pt idx="4">
                  <c:v>0.47709425799999999</c:v>
                </c:pt>
                <c:pt idx="5">
                  <c:v>0.72700705263000009</c:v>
                </c:pt>
                <c:pt idx="6">
                  <c:v>7.0178015999999996E-2</c:v>
                </c:pt>
                <c:pt idx="7">
                  <c:v>0.21038200000000001</c:v>
                </c:pt>
              </c:numCache>
            </c:numRef>
          </c:val>
        </c:ser>
        <c:ser>
          <c:idx val="1"/>
          <c:order val="1"/>
          <c:tx>
            <c:strRef>
              <c:f>Graf_6.1!$L$22</c:f>
              <c:strCache>
                <c:ptCount val="1"/>
                <c:pt idx="0">
                  <c:v>2013</c:v>
                </c:pt>
              </c:strCache>
            </c:strRef>
          </c:tx>
          <c:spPr>
            <a:solidFill>
              <a:schemeClr val="accent2">
                <a:lumMod val="40000"/>
                <a:lumOff val="60000"/>
              </a:schemeClr>
            </a:solidFill>
            <a:ln>
              <a:solidFill>
                <a:schemeClr val="accent2"/>
              </a:solidFill>
            </a:ln>
          </c:spPr>
          <c:invertIfNegative val="0"/>
          <c:cat>
            <c:strRef>
              <c:f>Graf_6.1!$M$4:$T$4</c:f>
              <c:strCache>
                <c:ptCount val="8"/>
                <c:pt idx="0">
                  <c:v>Týdenní
stacionáře</c:v>
                </c:pt>
                <c:pt idx="1">
                  <c:v>Domovy pro
osoby se
zdravotním
postižením
</c:v>
                </c:pt>
                <c:pt idx="2">
                  <c:v>Domovy
pro
seniory</c:v>
                </c:pt>
                <c:pt idx="3">
                  <c:v>Domovy se
zvláštním
režimem</c:v>
                </c:pt>
                <c:pt idx="4">
                  <c:v>Chráněné
bydlení</c:v>
                </c:pt>
                <c:pt idx="5">
                  <c:v>Azylové
domy</c:v>
                </c:pt>
                <c:pt idx="6">
                  <c:v>Domy na
půl cesty</c:v>
                </c:pt>
                <c:pt idx="7">
                  <c:v>Centra
sociálně
rehabilitačních
služeb</c:v>
                </c:pt>
              </c:strCache>
            </c:strRef>
          </c:cat>
          <c:val>
            <c:numRef>
              <c:f>Graf_6.1!$M$22:$T$22</c:f>
              <c:numCache>
                <c:formatCode>#,##0.00_ ;\-#,##0.00\ </c:formatCode>
                <c:ptCount val="8"/>
                <c:pt idx="0">
                  <c:v>0.23886740261</c:v>
                </c:pt>
                <c:pt idx="1">
                  <c:v>4.8527940000000003</c:v>
                </c:pt>
                <c:pt idx="2">
                  <c:v>10.66354831706</c:v>
                </c:pt>
                <c:pt idx="3">
                  <c:v>3.7449712179499999</c:v>
                </c:pt>
                <c:pt idx="4">
                  <c:v>0.54401636199500003</c:v>
                </c:pt>
                <c:pt idx="5">
                  <c:v>0.663408</c:v>
                </c:pt>
                <c:pt idx="6">
                  <c:v>5.6417999999999996E-2</c:v>
                </c:pt>
                <c:pt idx="7">
                  <c:v>0.203346</c:v>
                </c:pt>
              </c:numCache>
            </c:numRef>
          </c:val>
        </c:ser>
        <c:ser>
          <c:idx val="2"/>
          <c:order val="2"/>
          <c:tx>
            <c:strRef>
              <c:f>Graf_6.1!$L$23</c:f>
              <c:strCache>
                <c:ptCount val="1"/>
                <c:pt idx="0">
                  <c:v>2014</c:v>
                </c:pt>
              </c:strCache>
            </c:strRef>
          </c:tx>
          <c:spPr>
            <a:solidFill>
              <a:schemeClr val="accent2">
                <a:lumMod val="60000"/>
                <a:lumOff val="40000"/>
              </a:schemeClr>
            </a:solidFill>
            <a:ln>
              <a:solidFill>
                <a:schemeClr val="accent2">
                  <a:lumMod val="75000"/>
                </a:schemeClr>
              </a:solidFill>
            </a:ln>
          </c:spPr>
          <c:invertIfNegative val="0"/>
          <c:cat>
            <c:strRef>
              <c:f>Graf_6.1!$M$4:$T$4</c:f>
              <c:strCache>
                <c:ptCount val="8"/>
                <c:pt idx="0">
                  <c:v>Týdenní
stacionáře</c:v>
                </c:pt>
                <c:pt idx="1">
                  <c:v>Domovy pro
osoby se
zdravotním
postižením
</c:v>
                </c:pt>
                <c:pt idx="2">
                  <c:v>Domovy
pro
seniory</c:v>
                </c:pt>
                <c:pt idx="3">
                  <c:v>Domovy se
zvláštním
režimem</c:v>
                </c:pt>
                <c:pt idx="4">
                  <c:v>Chráněné
bydlení</c:v>
                </c:pt>
                <c:pt idx="5">
                  <c:v>Azylové
domy</c:v>
                </c:pt>
                <c:pt idx="6">
                  <c:v>Domy na
půl cesty</c:v>
                </c:pt>
                <c:pt idx="7">
                  <c:v>Centra
sociálně
rehabilitačních
služeb</c:v>
                </c:pt>
              </c:strCache>
            </c:strRef>
          </c:cat>
          <c:val>
            <c:numRef>
              <c:f>Graf_6.1!$M$23:$T$23</c:f>
              <c:numCache>
                <c:formatCode>#,##0.00_ ;\-#,##0.00\ </c:formatCode>
                <c:ptCount val="8"/>
                <c:pt idx="0">
                  <c:v>0.24638102207000001</c:v>
                </c:pt>
                <c:pt idx="1">
                  <c:v>5.010605</c:v>
                </c:pt>
                <c:pt idx="2">
                  <c:v>10.907334270129999</c:v>
                </c:pt>
                <c:pt idx="3">
                  <c:v>4.5989310915299999</c:v>
                </c:pt>
                <c:pt idx="4">
                  <c:v>0.67490309938000004</c:v>
                </c:pt>
                <c:pt idx="5">
                  <c:v>0.73639146766999986</c:v>
                </c:pt>
                <c:pt idx="6">
                  <c:v>6.2754541999999996E-2</c:v>
                </c:pt>
                <c:pt idx="7">
                  <c:v>0.186612</c:v>
                </c:pt>
              </c:numCache>
            </c:numRef>
          </c:val>
        </c:ser>
        <c:ser>
          <c:idx val="3"/>
          <c:order val="3"/>
          <c:tx>
            <c:strRef>
              <c:f>Graf_6.1!$L$24</c:f>
              <c:strCache>
                <c:ptCount val="1"/>
                <c:pt idx="0">
                  <c:v>2015</c:v>
                </c:pt>
              </c:strCache>
            </c:strRef>
          </c:tx>
          <c:spPr>
            <a:solidFill>
              <a:schemeClr val="accent2"/>
            </a:solidFill>
            <a:ln>
              <a:solidFill>
                <a:schemeClr val="accent2">
                  <a:lumMod val="50000"/>
                </a:schemeClr>
              </a:solidFill>
            </a:ln>
          </c:spPr>
          <c:invertIfNegative val="0"/>
          <c:cat>
            <c:strRef>
              <c:f>Graf_6.1!$M$4:$T$4</c:f>
              <c:strCache>
                <c:ptCount val="8"/>
                <c:pt idx="0">
                  <c:v>Týdenní
stacionáře</c:v>
                </c:pt>
                <c:pt idx="1">
                  <c:v>Domovy pro
osoby se
zdravotním
postižením
</c:v>
                </c:pt>
                <c:pt idx="2">
                  <c:v>Domovy
pro
seniory</c:v>
                </c:pt>
                <c:pt idx="3">
                  <c:v>Domovy se
zvláštním
režimem</c:v>
                </c:pt>
                <c:pt idx="4">
                  <c:v>Chráněné
bydlení</c:v>
                </c:pt>
                <c:pt idx="5">
                  <c:v>Azylové
domy</c:v>
                </c:pt>
                <c:pt idx="6">
                  <c:v>Domy na
půl cesty</c:v>
                </c:pt>
                <c:pt idx="7">
                  <c:v>Centra
sociálně
rehabilitačních
služeb</c:v>
                </c:pt>
              </c:strCache>
            </c:strRef>
          </c:cat>
          <c:val>
            <c:numRef>
              <c:f>Graf_6.1!$M$24:$T$24</c:f>
              <c:numCache>
                <c:formatCode>#,##0.00_ ;\-#,##0.00\ </c:formatCode>
                <c:ptCount val="8"/>
                <c:pt idx="0">
                  <c:v>0.28465337819999997</c:v>
                </c:pt>
                <c:pt idx="1">
                  <c:v>5.2200695538478801</c:v>
                </c:pt>
                <c:pt idx="2">
                  <c:v>11.278162323299998</c:v>
                </c:pt>
                <c:pt idx="3">
                  <c:v>5.1517721590000001</c:v>
                </c:pt>
                <c:pt idx="4">
                  <c:v>0.78740270357571207</c:v>
                </c:pt>
                <c:pt idx="5">
                  <c:v>0.75882588187</c:v>
                </c:pt>
                <c:pt idx="6">
                  <c:v>6.1259845340000008E-2</c:v>
                </c:pt>
                <c:pt idx="7">
                  <c:v>0.12773899999999999</c:v>
                </c:pt>
              </c:numCache>
            </c:numRef>
          </c:val>
        </c:ser>
        <c:dLbls>
          <c:showLegendKey val="0"/>
          <c:showVal val="0"/>
          <c:showCatName val="0"/>
          <c:showSerName val="0"/>
          <c:showPercent val="0"/>
          <c:showBubbleSize val="0"/>
        </c:dLbls>
        <c:gapWidth val="130"/>
        <c:axId val="96162944"/>
        <c:axId val="103318272"/>
      </c:barChart>
      <c:catAx>
        <c:axId val="96162944"/>
        <c:scaling>
          <c:orientation val="minMax"/>
        </c:scaling>
        <c:delete val="0"/>
        <c:axPos val="b"/>
        <c:majorTickMark val="out"/>
        <c:minorTickMark val="none"/>
        <c:tickLblPos val="nextTo"/>
        <c:txPr>
          <a:bodyPr/>
          <a:lstStyle/>
          <a:p>
            <a:pPr>
              <a:defRPr sz="790">
                <a:latin typeface="Arial" panose="020B0604020202020204" pitchFamily="34" charset="0"/>
                <a:cs typeface="Arial" panose="020B0604020202020204" pitchFamily="34" charset="0"/>
              </a:defRPr>
            </a:pPr>
            <a:endParaRPr lang="cs-CZ"/>
          </a:p>
        </c:txPr>
        <c:crossAx val="103318272"/>
        <c:crosses val="autoZero"/>
        <c:auto val="1"/>
        <c:lblAlgn val="ctr"/>
        <c:lblOffset val="100"/>
        <c:noMultiLvlLbl val="0"/>
      </c:catAx>
      <c:valAx>
        <c:axId val="103318272"/>
        <c:scaling>
          <c:orientation val="minMax"/>
        </c:scaling>
        <c:delete val="0"/>
        <c:axPos val="l"/>
        <c:majorGridlines>
          <c:spPr>
            <a:ln>
              <a:solidFill>
                <a:schemeClr val="bg1">
                  <a:lumMod val="75000"/>
                </a:schemeClr>
              </a:solidFill>
              <a:prstDash val="sysDash"/>
            </a:ln>
          </c:spPr>
        </c:majorGridlines>
        <c:title>
          <c:tx>
            <c:rich>
              <a:bodyPr rot="0" vert="horz"/>
              <a:lstStyle/>
              <a:p>
                <a:pPr>
                  <a:defRPr sz="800" b="0">
                    <a:latin typeface="Arial" pitchFamily="34" charset="0"/>
                    <a:cs typeface="Arial" pitchFamily="34" charset="0"/>
                  </a:defRPr>
                </a:pPr>
                <a:r>
                  <a:rPr lang="en-US" sz="800" b="0">
                    <a:latin typeface="Arial" pitchFamily="34" charset="0"/>
                    <a:cs typeface="Arial" pitchFamily="34" charset="0"/>
                  </a:rPr>
                  <a:t>mld. Kč</a:t>
                </a:r>
              </a:p>
            </c:rich>
          </c:tx>
          <c:layout>
            <c:manualLayout>
              <c:xMode val="edge"/>
              <c:yMode val="edge"/>
              <c:x val="1.8691588785046738E-2"/>
              <c:y val="2.704461487964478E-4"/>
            </c:manualLayout>
          </c:layout>
          <c:overlay val="0"/>
        </c:title>
        <c:numFmt formatCode="#,##0_ ;\-#,##0\ "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96162944"/>
        <c:crosses val="autoZero"/>
        <c:crossBetween val="between"/>
      </c:valAx>
    </c:plotArea>
    <c:legend>
      <c:legendPos val="r"/>
      <c:layout>
        <c:manualLayout>
          <c:xMode val="edge"/>
          <c:yMode val="edge"/>
          <c:x val="0.55711226811444059"/>
          <c:y val="0.12893527960185289"/>
          <c:w val="0.38908246651127537"/>
          <c:h val="9.5805944779761343E-2"/>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955611680615399E-2"/>
          <c:y val="9.981566257706169E-2"/>
          <c:w val="0.90598359167368225"/>
          <c:h val="0.61428768125295785"/>
        </c:manualLayout>
      </c:layout>
      <c:barChart>
        <c:barDir val="col"/>
        <c:grouping val="percentStacked"/>
        <c:varyColors val="0"/>
        <c:ser>
          <c:idx val="1"/>
          <c:order val="0"/>
          <c:tx>
            <c:strRef>
              <c:f>Graf_6.2!$M$5</c:f>
              <c:strCache>
                <c:ptCount val="1"/>
                <c:pt idx="0">
                  <c:v>Státní</c:v>
                </c:pt>
              </c:strCache>
            </c:strRef>
          </c:tx>
          <c:spPr>
            <a:solidFill>
              <a:srgbClr val="187BB8"/>
            </a:solidFill>
            <a:ln>
              <a:solidFill>
                <a:schemeClr val="tx2"/>
              </a:solidFill>
            </a:ln>
          </c:spPr>
          <c:invertIfNegative val="0"/>
          <c:dLbls>
            <c:dLbl>
              <c:idx val="2"/>
              <c:delete val="1"/>
            </c:dLbl>
            <c:dLbl>
              <c:idx val="3"/>
              <c:delete val="1"/>
            </c:dLbl>
            <c:dLbl>
              <c:idx val="5"/>
              <c:delete val="1"/>
            </c:dLbl>
            <c:numFmt formatCode="0%" sourceLinked="0"/>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(Graf_6.2!$M$8:$M$13,Graf_6.2!$M$22)</c:f>
              <c:numCache>
                <c:formatCode>#,##0.0"  ";\-#,##0.0"  ";"-  "\ </c:formatCode>
                <c:ptCount val="7"/>
                <c:pt idx="0">
                  <c:v>0.10885167464114832</c:v>
                </c:pt>
                <c:pt idx="1">
                  <c:v>4.9500275438734559E-2</c:v>
                </c:pt>
                <c:pt idx="2">
                  <c:v>0</c:v>
                </c:pt>
                <c:pt idx="3">
                  <c:v>0</c:v>
                </c:pt>
                <c:pt idx="4">
                  <c:v>2.4746906636670417E-2</c:v>
                </c:pt>
                <c:pt idx="5">
                  <c:v>0</c:v>
                </c:pt>
                <c:pt idx="6">
                  <c:v>5.5865921787709494E-2</c:v>
                </c:pt>
              </c:numCache>
            </c:numRef>
          </c:val>
        </c:ser>
        <c:ser>
          <c:idx val="2"/>
          <c:order val="1"/>
          <c:tx>
            <c:strRef>
              <c:f>Graf_6.2!$N$5</c:f>
              <c:strCache>
                <c:ptCount val="1"/>
                <c:pt idx="0">
                  <c:v>Krajské</c:v>
                </c:pt>
              </c:strCache>
            </c:strRef>
          </c:tx>
          <c:spPr>
            <a:solidFill>
              <a:schemeClr val="accent1">
                <a:lumMod val="60000"/>
                <a:lumOff val="40000"/>
              </a:schemeClr>
            </a:solidFill>
            <a:ln>
              <a:solidFill>
                <a:schemeClr val="accent1">
                  <a:lumMod val="50000"/>
                </a:schemeClr>
              </a:solidFill>
            </a:ln>
          </c:spPr>
          <c:invertIfNegative val="0"/>
          <c:dLbls>
            <c:dLbl>
              <c:idx val="6"/>
              <c:delete val="1"/>
            </c:dLbl>
            <c:numFmt formatCode="0%" sourceLinked="0"/>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(Graf_6.2!$N$8:$N$13,Graf_6.2!$N$22)</c:f>
              <c:numCache>
                <c:formatCode>#,##0.0"  ";\-#,##0.0"  ";"-  "\ </c:formatCode>
                <c:ptCount val="7"/>
                <c:pt idx="0">
                  <c:v>0.43899521531100477</c:v>
                </c:pt>
                <c:pt idx="1">
                  <c:v>0.80719288581097037</c:v>
                </c:pt>
                <c:pt idx="2">
                  <c:v>0.45145161290322583</c:v>
                </c:pt>
                <c:pt idx="3">
                  <c:v>0.41170775784174518</c:v>
                </c:pt>
                <c:pt idx="4">
                  <c:v>0.51687289088863897</c:v>
                </c:pt>
                <c:pt idx="5">
                  <c:v>3.8298454383805226E-2</c:v>
                </c:pt>
                <c:pt idx="6">
                  <c:v>0</c:v>
                </c:pt>
              </c:numCache>
            </c:numRef>
          </c:val>
        </c:ser>
        <c:ser>
          <c:idx val="3"/>
          <c:order val="2"/>
          <c:tx>
            <c:strRef>
              <c:f>Graf_6.2!$O$5</c:f>
              <c:strCache>
                <c:ptCount val="1"/>
                <c:pt idx="0">
                  <c:v>Obecní</c:v>
                </c:pt>
              </c:strCache>
            </c:strRef>
          </c:tx>
          <c:spPr>
            <a:solidFill>
              <a:srgbClr val="DF858B"/>
            </a:solidFill>
            <a:ln>
              <a:solidFill>
                <a:schemeClr val="accent2">
                  <a:lumMod val="50000"/>
                </a:schemeClr>
              </a:solidFill>
            </a:ln>
          </c:spPr>
          <c:invertIfNegative val="0"/>
          <c:dLbls>
            <c:dLbl>
              <c:idx val="6"/>
              <c:delete val="1"/>
            </c:dLbl>
            <c:numFmt formatCode="0%" sourceLinked="0"/>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(Graf_6.2!$O$8:$O$13,Graf_6.2!$O$22)</c:f>
              <c:numCache>
                <c:formatCode>#,##0.0"  ";\-#,##0.0"  ";"-  "\ </c:formatCode>
                <c:ptCount val="7"/>
                <c:pt idx="0">
                  <c:v>0.12799043062200957</c:v>
                </c:pt>
                <c:pt idx="1">
                  <c:v>9.6246163531911538E-2</c:v>
                </c:pt>
                <c:pt idx="2">
                  <c:v>0.39395161290322583</c:v>
                </c:pt>
                <c:pt idx="3">
                  <c:v>0.24351361817477735</c:v>
                </c:pt>
                <c:pt idx="4">
                  <c:v>7.2553430821147361E-2</c:v>
                </c:pt>
                <c:pt idx="5">
                  <c:v>0.18451648201340445</c:v>
                </c:pt>
                <c:pt idx="6">
                  <c:v>0</c:v>
                </c:pt>
              </c:numCache>
            </c:numRef>
          </c:val>
        </c:ser>
        <c:ser>
          <c:idx val="4"/>
          <c:order val="3"/>
          <c:tx>
            <c:strRef>
              <c:f>Graf_6.2!$P$5</c:f>
              <c:strCache>
                <c:ptCount val="1"/>
                <c:pt idx="0">
                  <c:v>Církevní</c:v>
                </c:pt>
              </c:strCache>
            </c:strRef>
          </c:tx>
          <c:spPr>
            <a:solidFill>
              <a:srgbClr val="EDB9BD"/>
            </a:solidFill>
            <a:ln>
              <a:solidFill>
                <a:schemeClr val="accent2">
                  <a:lumMod val="50000"/>
                </a:schemeClr>
              </a:solidFill>
            </a:ln>
          </c:spPr>
          <c:invertIfNegative val="0"/>
          <c:dLbls>
            <c:dLbl>
              <c:idx val="1"/>
              <c:delete val="1"/>
            </c:dLbl>
            <c:numFmt formatCode="0%" sourceLinked="0"/>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(Graf_6.2!$P$8:$P$13,Graf_6.2!$P$22)</c:f>
              <c:numCache>
                <c:formatCode>#,##0.0"  ";\-#,##0.0"  ";"-  "\ </c:formatCode>
                <c:ptCount val="7"/>
                <c:pt idx="0">
                  <c:v>8.3732057416267949E-2</c:v>
                </c:pt>
                <c:pt idx="1">
                  <c:v>2.2428582670968759E-2</c:v>
                </c:pt>
                <c:pt idx="2">
                  <c:v>6.8951612903225809E-2</c:v>
                </c:pt>
                <c:pt idx="3">
                  <c:v>3.6594810894539823E-2</c:v>
                </c:pt>
                <c:pt idx="4">
                  <c:v>0.12120359955005625</c:v>
                </c:pt>
                <c:pt idx="5">
                  <c:v>0.36397209684037751</c:v>
                </c:pt>
                <c:pt idx="6">
                  <c:v>0.13780260707635009</c:v>
                </c:pt>
              </c:numCache>
            </c:numRef>
          </c:val>
        </c:ser>
        <c:ser>
          <c:idx val="5"/>
          <c:order val="4"/>
          <c:tx>
            <c:strRef>
              <c:f>Graf_6.2!$Q$5</c:f>
              <c:strCache>
                <c:ptCount val="1"/>
                <c:pt idx="0">
                  <c:v>Ostatní</c:v>
                </c:pt>
              </c:strCache>
            </c:strRef>
          </c:tx>
          <c:spPr>
            <a:solidFill>
              <a:srgbClr val="9F7CA0"/>
            </a:solidFill>
            <a:ln>
              <a:solidFill>
                <a:schemeClr val="accent4">
                  <a:lumMod val="75000"/>
                </a:schemeClr>
              </a:solidFill>
            </a:ln>
          </c:spPr>
          <c:invertIfNegative val="0"/>
          <c:dLbls>
            <c:dLbl>
              <c:idx val="1"/>
              <c:delete val="1"/>
            </c:dLbl>
            <c:numFmt formatCode="0%" sourceLinked="0"/>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(Graf_6.2!$K$8:$K$13,Graf_6.2!$K$22)</c:f>
              <c:strCache>
                <c:ptCount val="7"/>
                <c:pt idx="0">
                  <c:v>Týdenní stacionáře</c:v>
                </c:pt>
                <c:pt idx="1">
                  <c:v>Domovy pro osoby se zdravotním postižením</c:v>
                </c:pt>
                <c:pt idx="2">
                  <c:v>Domovy pro seniory</c:v>
                </c:pt>
                <c:pt idx="3">
                  <c:v>Domovy se zvláštním režimem</c:v>
                </c:pt>
                <c:pt idx="4">
                  <c:v>Chráněné bydlení</c:v>
                </c:pt>
                <c:pt idx="5">
                  <c:v>Azylové domy</c:v>
                </c:pt>
                <c:pt idx="6">
                  <c:v>Centra sociálně rehabilitačních služeb</c:v>
                </c:pt>
              </c:strCache>
            </c:strRef>
          </c:cat>
          <c:val>
            <c:numRef>
              <c:f>(Graf_6.2!$Q$8:$Q$13,Graf_6.2!$Q$22)</c:f>
              <c:numCache>
                <c:formatCode>#,##0.0"  ";\-#,##0.0"  ";"-  "\ </c:formatCode>
                <c:ptCount val="7"/>
                <c:pt idx="0">
                  <c:v>0.24043062200956938</c:v>
                </c:pt>
                <c:pt idx="1">
                  <c:v>2.4632092547414809E-2</c:v>
                </c:pt>
                <c:pt idx="2">
                  <c:v>8.5645161290322583E-2</c:v>
                </c:pt>
                <c:pt idx="3">
                  <c:v>0.30818381308893766</c:v>
                </c:pt>
                <c:pt idx="4">
                  <c:v>0.26462317210348707</c:v>
                </c:pt>
                <c:pt idx="5">
                  <c:v>0.41321296676241281</c:v>
                </c:pt>
                <c:pt idx="6">
                  <c:v>0.80633147113594039</c:v>
                </c:pt>
              </c:numCache>
            </c:numRef>
          </c:val>
        </c:ser>
        <c:dLbls>
          <c:showLegendKey val="0"/>
          <c:showVal val="0"/>
          <c:showCatName val="0"/>
          <c:showSerName val="0"/>
          <c:showPercent val="0"/>
          <c:showBubbleSize val="0"/>
        </c:dLbls>
        <c:gapWidth val="150"/>
        <c:overlap val="100"/>
        <c:axId val="112513024"/>
        <c:axId val="112514560"/>
      </c:barChart>
      <c:catAx>
        <c:axId val="112513024"/>
        <c:scaling>
          <c:orientation val="minMax"/>
        </c:scaling>
        <c:delete val="0"/>
        <c:axPos val="b"/>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2514560"/>
        <c:crosses val="autoZero"/>
        <c:auto val="1"/>
        <c:lblAlgn val="ctr"/>
        <c:lblOffset val="100"/>
        <c:noMultiLvlLbl val="0"/>
      </c:catAx>
      <c:valAx>
        <c:axId val="112514560"/>
        <c:scaling>
          <c:orientation val="minMax"/>
        </c:scaling>
        <c:delete val="0"/>
        <c:axPos val="l"/>
        <c:majorGridlines>
          <c:spPr>
            <a:ln>
              <a:solidFill>
                <a:schemeClr val="bg1">
                  <a:lumMod val="75000"/>
                </a:schemeClr>
              </a:solidFill>
              <a:prstDash val="sysDash"/>
            </a:ln>
          </c:spPr>
        </c:majorGridlines>
        <c:numFmt formatCode="0%" sourceLinked="1"/>
        <c:majorTickMark val="out"/>
        <c:minorTickMark val="none"/>
        <c:tickLblPos val="nextTo"/>
        <c:txPr>
          <a:bodyPr/>
          <a:lstStyle/>
          <a:p>
            <a:pPr>
              <a:defRPr sz="800" baseline="0">
                <a:latin typeface="Arial" panose="020B0604020202020204" pitchFamily="34" charset="0"/>
              </a:defRPr>
            </a:pPr>
            <a:endParaRPr lang="cs-CZ"/>
          </a:p>
        </c:txPr>
        <c:crossAx val="112513024"/>
        <c:crosses val="autoZero"/>
        <c:crossBetween val="between"/>
      </c:valAx>
    </c:plotArea>
    <c:legend>
      <c:legendPos val="b"/>
      <c:layout>
        <c:manualLayout>
          <c:xMode val="edge"/>
          <c:yMode val="edge"/>
          <c:x val="0.10630560603001553"/>
          <c:y val="0.90323422686918253"/>
          <c:w val="0.76602109832424836"/>
          <c:h val="8.5836811382183797E-2"/>
        </c:manualLayout>
      </c:layout>
      <c:overlay val="0"/>
      <c:spPr>
        <a:ln>
          <a:solidFill>
            <a:schemeClr val="bg1">
              <a:lumMod val="65000"/>
            </a:schemeClr>
          </a:solidFill>
        </a:ln>
      </c:spPr>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433473910182241E-2"/>
          <c:y val="4.0502500036763499E-2"/>
          <c:w val="0.90802684530652911"/>
          <c:h val="0.75479419587601715"/>
        </c:manualLayout>
      </c:layout>
      <c:barChart>
        <c:barDir val="col"/>
        <c:grouping val="clustered"/>
        <c:varyColors val="0"/>
        <c:ser>
          <c:idx val="0"/>
          <c:order val="0"/>
          <c:tx>
            <c:strRef>
              <c:f>Graf_6.3!$N$3</c:f>
              <c:strCache>
                <c:ptCount val="1"/>
                <c:pt idx="0">
                  <c:v>trvale upoutaní na lůžko</c:v>
                </c:pt>
              </c:strCache>
            </c:strRef>
          </c:tx>
          <c:spPr>
            <a:solidFill>
              <a:srgbClr val="7DA9DF"/>
            </a:solidFill>
            <a:ln>
              <a:solidFill>
                <a:srgbClr val="4F81BD">
                  <a:lumMod val="75000"/>
                </a:srgbClr>
              </a:solidFill>
            </a:ln>
          </c:spPr>
          <c:invertIfNegative val="0"/>
          <c:dLbls>
            <c:dLbl>
              <c:idx val="0"/>
              <c:layout>
                <c:manualLayout>
                  <c:x val="0"/>
                  <c:y val="1.5308069474046072E-2"/>
                </c:manualLayout>
              </c:layout>
              <c:dLblPos val="outEnd"/>
              <c:showLegendKey val="0"/>
              <c:showVal val="1"/>
              <c:showCatName val="0"/>
              <c:showSerName val="0"/>
              <c:showPercent val="0"/>
              <c:showBubbleSize val="0"/>
            </c:dLbl>
            <c:dLbl>
              <c:idx val="5"/>
              <c:delete val="1"/>
            </c:dLbl>
            <c:numFmt formatCode="0%" sourceLinked="0"/>
            <c:dLblPos val="ctr"/>
            <c:showLegendKey val="0"/>
            <c:showVal val="1"/>
            <c:showCatName val="0"/>
            <c:showSerName val="0"/>
            <c:showPercent val="0"/>
            <c:showBubbleSize val="0"/>
            <c:showLeaderLines val="0"/>
          </c:dLbls>
          <c:cat>
            <c:strRef>
              <c:f>(Graf_6.3!$J$4:$J$8,Graf_6.3!$J$13)</c:f>
              <c:strCache>
                <c:ptCount val="6"/>
                <c:pt idx="0">
                  <c:v>Týdenní stacionáře</c:v>
                </c:pt>
                <c:pt idx="1">
                  <c:v>Domovy pro osoby se zdravotním postižením</c:v>
                </c:pt>
                <c:pt idx="2">
                  <c:v>Domovy pro seniory</c:v>
                </c:pt>
                <c:pt idx="3">
                  <c:v>Domovy se zvláštním režimem</c:v>
                </c:pt>
                <c:pt idx="4">
                  <c:v>Chráněné bydlení</c:v>
                </c:pt>
                <c:pt idx="5">
                  <c:v>Centra sociálně rehabilitačních služeb</c:v>
                </c:pt>
              </c:strCache>
            </c:strRef>
          </c:cat>
          <c:val>
            <c:numRef>
              <c:f>(Graf_6.3!$N$4:$N$8,Graf_6.3!$N$13)</c:f>
              <c:numCache>
                <c:formatCode>0.00</c:formatCode>
                <c:ptCount val="6"/>
                <c:pt idx="0">
                  <c:v>2.7210884353741496E-2</c:v>
                </c:pt>
                <c:pt idx="1">
                  <c:v>0.12149762411928559</c:v>
                </c:pt>
                <c:pt idx="2">
                  <c:v>0.25278210549744046</c:v>
                </c:pt>
                <c:pt idx="3">
                  <c:v>0.23987012108503011</c:v>
                </c:pt>
                <c:pt idx="4">
                  <c:v>5.4878048780487802E-3</c:v>
                </c:pt>
                <c:pt idx="5">
                  <c:v>0</c:v>
                </c:pt>
              </c:numCache>
            </c:numRef>
          </c:val>
        </c:ser>
        <c:ser>
          <c:idx val="1"/>
          <c:order val="1"/>
          <c:tx>
            <c:strRef>
              <c:f>Graf_6.3!$O$3</c:f>
              <c:strCache>
                <c:ptCount val="1"/>
                <c:pt idx="0">
                  <c:v>mobilní za pomoci druhé osoby nebo technických pomůcek</c:v>
                </c:pt>
              </c:strCache>
            </c:strRef>
          </c:tx>
          <c:spPr>
            <a:solidFill>
              <a:schemeClr val="accent2">
                <a:lumMod val="40000"/>
                <a:lumOff val="60000"/>
              </a:schemeClr>
            </a:solidFill>
            <a:ln>
              <a:solidFill>
                <a:srgbClr val="C0504D">
                  <a:lumMod val="50000"/>
                </a:srgbClr>
              </a:solidFill>
            </a:ln>
          </c:spPr>
          <c:invertIfNegative val="0"/>
          <c:dLbls>
            <c:numFmt formatCode="0%" sourceLinked="0"/>
            <c:dLblPos val="ctr"/>
            <c:showLegendKey val="0"/>
            <c:showVal val="1"/>
            <c:showCatName val="0"/>
            <c:showSerName val="0"/>
            <c:showPercent val="0"/>
            <c:showBubbleSize val="0"/>
            <c:showLeaderLines val="0"/>
          </c:dLbls>
          <c:cat>
            <c:strRef>
              <c:f>(Graf_6.3!$J$4:$J$8,Graf_6.3!$J$13)</c:f>
              <c:strCache>
                <c:ptCount val="6"/>
                <c:pt idx="0">
                  <c:v>Týdenní stacionáře</c:v>
                </c:pt>
                <c:pt idx="1">
                  <c:v>Domovy pro osoby se zdravotním postižením</c:v>
                </c:pt>
                <c:pt idx="2">
                  <c:v>Domovy pro seniory</c:v>
                </c:pt>
                <c:pt idx="3">
                  <c:v>Domovy se zvláštním režimem</c:v>
                </c:pt>
                <c:pt idx="4">
                  <c:v>Chráněné bydlení</c:v>
                </c:pt>
                <c:pt idx="5">
                  <c:v>Centra sociálně rehabilitačních služeb</c:v>
                </c:pt>
              </c:strCache>
            </c:strRef>
          </c:cat>
          <c:val>
            <c:numRef>
              <c:f>(Graf_6.3!$O$4:$O$8,Graf_6.3!$O$13)</c:f>
              <c:numCache>
                <c:formatCode>0.00</c:formatCode>
                <c:ptCount val="6"/>
                <c:pt idx="0">
                  <c:v>0.20272108843537415</c:v>
                </c:pt>
                <c:pt idx="1">
                  <c:v>0.27797804358512207</c:v>
                </c:pt>
                <c:pt idx="2">
                  <c:v>0.52400957044291119</c:v>
                </c:pt>
                <c:pt idx="3">
                  <c:v>0.42379760535750527</c:v>
                </c:pt>
                <c:pt idx="4">
                  <c:v>0.10670731707317073</c:v>
                </c:pt>
                <c:pt idx="5">
                  <c:v>4.6798029556650245E-2</c:v>
                </c:pt>
              </c:numCache>
            </c:numRef>
          </c:val>
        </c:ser>
        <c:dLbls>
          <c:showLegendKey val="0"/>
          <c:showVal val="0"/>
          <c:showCatName val="0"/>
          <c:showSerName val="0"/>
          <c:showPercent val="0"/>
          <c:showBubbleSize val="0"/>
        </c:dLbls>
        <c:gapWidth val="130"/>
        <c:axId val="112593536"/>
        <c:axId val="112603520"/>
      </c:barChart>
      <c:catAx>
        <c:axId val="112593536"/>
        <c:scaling>
          <c:orientation val="minMax"/>
        </c:scaling>
        <c:delete val="0"/>
        <c:axPos val="b"/>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2603520"/>
        <c:crosses val="autoZero"/>
        <c:auto val="1"/>
        <c:lblAlgn val="ctr"/>
        <c:lblOffset val="100"/>
        <c:noMultiLvlLbl val="0"/>
      </c:catAx>
      <c:valAx>
        <c:axId val="112603520"/>
        <c:scaling>
          <c:orientation val="minMax"/>
          <c:max val="0.55000000000000004"/>
        </c:scaling>
        <c:delete val="0"/>
        <c:axPos val="l"/>
        <c:majorGridlines>
          <c:spPr>
            <a:ln>
              <a:solidFill>
                <a:schemeClr val="bg1">
                  <a:lumMod val="75000"/>
                </a:schemeClr>
              </a:solidFill>
              <a:prstDash val="sysDash"/>
            </a:ln>
          </c:spPr>
        </c:majorGridlines>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2593536"/>
        <c:crosses val="autoZero"/>
        <c:crossBetween val="between"/>
        <c:majorUnit val="5.0000000000000024E-2"/>
      </c:valAx>
    </c:plotArea>
    <c:legend>
      <c:legendPos val="r"/>
      <c:layout>
        <c:manualLayout>
          <c:xMode val="edge"/>
          <c:yMode val="edge"/>
          <c:x val="0.68065543380504046"/>
          <c:y val="0.16441009936268405"/>
          <c:w val="0.28884936585724003"/>
          <c:h val="0.26220696963488344"/>
        </c:manualLayout>
      </c:layout>
      <c:overlay val="0"/>
      <c:spPr>
        <a:solidFill>
          <a:sysClr val="window" lastClr="FFFFFF"/>
        </a:solidFill>
        <a:ln>
          <a:solidFill>
            <a:sysClr val="window" lastClr="FFFFFF">
              <a:lumMod val="65000"/>
            </a:sysClr>
          </a:solidFill>
        </a:ln>
      </c:spPr>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C1F8-FF9C-4C40-A167-4A4F50AB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92</TotalTime>
  <Pages>5</Pages>
  <Words>2449</Words>
  <Characters>14455</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hrivikova2924</dc:creator>
  <cp:lastModifiedBy>Helena Chodounská</cp:lastModifiedBy>
  <cp:revision>11</cp:revision>
  <cp:lastPrinted>2015-12-15T12:14:00Z</cp:lastPrinted>
  <dcterms:created xsi:type="dcterms:W3CDTF">2016-11-05T09:26:00Z</dcterms:created>
  <dcterms:modified xsi:type="dcterms:W3CDTF">2016-11-07T11:07:00Z</dcterms:modified>
</cp:coreProperties>
</file>