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30D4" w14:textId="77777777" w:rsidR="00867569" w:rsidRDefault="00304F59" w:rsidP="00E42E00">
      <w:pPr>
        <w:pStyle w:val="Datum"/>
      </w:pPr>
      <w:bookmarkStart w:id="0" w:name="_GoBack"/>
      <w:bookmarkEnd w:id="0"/>
      <w:r>
        <w:t>6</w:t>
      </w:r>
      <w:r w:rsidR="00A46E8F">
        <w:t xml:space="preserve">. </w:t>
      </w:r>
      <w:r>
        <w:t>3</w:t>
      </w:r>
      <w:r w:rsidR="00A46E8F">
        <w:t>. 202</w:t>
      </w:r>
      <w:r>
        <w:t>3</w:t>
      </w:r>
    </w:p>
    <w:p w14:paraId="69DFF946" w14:textId="77777777" w:rsidR="00867569" w:rsidRPr="00A56C80" w:rsidRDefault="00A46E8F" w:rsidP="00A56C80">
      <w:pPr>
        <w:pStyle w:val="Nzev"/>
      </w:pPr>
      <w:r>
        <w:t xml:space="preserve">Vývoj českého trhu práce – </w:t>
      </w:r>
      <w:r w:rsidR="00304F59">
        <w:t>4</w:t>
      </w:r>
      <w:r>
        <w:t>. čtvrtletí 202</w:t>
      </w:r>
      <w:r w:rsidR="000C6FCF">
        <w:t>2</w:t>
      </w:r>
    </w:p>
    <w:p w14:paraId="506ADE7A" w14:textId="77777777" w:rsidR="00867569" w:rsidRDefault="00304F59" w:rsidP="00E42E00">
      <w:pPr>
        <w:pStyle w:val="Perex"/>
      </w:pPr>
      <w:r>
        <w:rPr>
          <w:szCs w:val="20"/>
        </w:rPr>
        <w:t>Kulminující inflace je stále</w:t>
      </w:r>
      <w:r w:rsidR="00A46E8F">
        <w:rPr>
          <w:szCs w:val="20"/>
        </w:rPr>
        <w:t xml:space="preserve"> </w:t>
      </w:r>
      <w:r>
        <w:rPr>
          <w:szCs w:val="20"/>
        </w:rPr>
        <w:t xml:space="preserve">vrcholným </w:t>
      </w:r>
      <w:r w:rsidR="00A46E8F">
        <w:rPr>
          <w:szCs w:val="20"/>
        </w:rPr>
        <w:t xml:space="preserve">tématem </w:t>
      </w:r>
      <w:r>
        <w:rPr>
          <w:szCs w:val="20"/>
        </w:rPr>
        <w:t>i na pracovním trhu, kde zvýšená cenová hladina reálně snížila kupní sílu mezd zaměstnanců</w:t>
      </w:r>
      <w:r w:rsidR="00A46E8F">
        <w:rPr>
          <w:szCs w:val="20"/>
        </w:rPr>
        <w:t xml:space="preserve">. </w:t>
      </w:r>
      <w:r w:rsidR="00A46E8F" w:rsidRPr="007F60D6">
        <w:rPr>
          <w:szCs w:val="20"/>
        </w:rPr>
        <w:t xml:space="preserve">Průměrná </w:t>
      </w:r>
      <w:r w:rsidR="00A46E8F" w:rsidRPr="007F60D6">
        <w:t xml:space="preserve">mzda </w:t>
      </w:r>
      <w:r w:rsidR="00A46E8F" w:rsidRPr="007F60D6">
        <w:rPr>
          <w:szCs w:val="20"/>
        </w:rPr>
        <w:t xml:space="preserve">meziročně </w:t>
      </w:r>
      <w:r w:rsidR="00A46E8F">
        <w:rPr>
          <w:szCs w:val="20"/>
        </w:rPr>
        <w:t>reá</w:t>
      </w:r>
      <w:r w:rsidR="00A46E8F" w:rsidRPr="007F60D6">
        <w:t xml:space="preserve">lně </w:t>
      </w:r>
      <w:r w:rsidR="0039199A" w:rsidRPr="00913213">
        <w:t>poklesla o </w:t>
      </w:r>
      <w:r w:rsidR="000728BE" w:rsidRPr="00913213">
        <w:t>6,7</w:t>
      </w:r>
      <w:r w:rsidR="0039199A" w:rsidRPr="00913213">
        <w:t> %.</w:t>
      </w:r>
      <w:r w:rsidR="00A46E8F" w:rsidRPr="00913213">
        <w:rPr>
          <w:szCs w:val="20"/>
        </w:rPr>
        <w:t xml:space="preserve"> </w:t>
      </w:r>
      <w:r w:rsidR="00913213">
        <w:rPr>
          <w:szCs w:val="20"/>
        </w:rPr>
        <w:t>S</w:t>
      </w:r>
      <w:r w:rsidR="00742313" w:rsidRPr="00E3576E">
        <w:rPr>
          <w:szCs w:val="20"/>
        </w:rPr>
        <w:t xml:space="preserve">nížení reálných </w:t>
      </w:r>
      <w:r w:rsidR="00175712" w:rsidRPr="00E3576E">
        <w:rPr>
          <w:szCs w:val="20"/>
        </w:rPr>
        <w:t>výdělků</w:t>
      </w:r>
      <w:r w:rsidR="00742313" w:rsidRPr="00E3576E">
        <w:rPr>
          <w:szCs w:val="20"/>
        </w:rPr>
        <w:t xml:space="preserve"> postihlo </w:t>
      </w:r>
      <w:r w:rsidR="007267BF" w:rsidRPr="00E3576E">
        <w:rPr>
          <w:szCs w:val="20"/>
        </w:rPr>
        <w:t>všechn</w:t>
      </w:r>
      <w:r w:rsidR="00294886" w:rsidRPr="00E3576E">
        <w:rPr>
          <w:szCs w:val="20"/>
        </w:rPr>
        <w:t>a</w:t>
      </w:r>
      <w:r w:rsidR="00913213">
        <w:rPr>
          <w:szCs w:val="20"/>
        </w:rPr>
        <w:t xml:space="preserve"> odvětví, avšak různou silou</w:t>
      </w:r>
      <w:r w:rsidR="00742313" w:rsidRPr="00E3576E">
        <w:rPr>
          <w:szCs w:val="20"/>
        </w:rPr>
        <w:t>.</w:t>
      </w:r>
      <w:r w:rsidRPr="00E3576E">
        <w:rPr>
          <w:szCs w:val="20"/>
        </w:rPr>
        <w:t xml:space="preserve"> Z</w:t>
      </w:r>
      <w:r>
        <w:rPr>
          <w:szCs w:val="20"/>
        </w:rPr>
        <w:t xml:space="preserve">aměstnanost </w:t>
      </w:r>
      <w:r w:rsidR="00CB0D30">
        <w:rPr>
          <w:szCs w:val="20"/>
        </w:rPr>
        <w:t xml:space="preserve">se </w:t>
      </w:r>
      <w:r w:rsidR="00913213">
        <w:rPr>
          <w:szCs w:val="20"/>
        </w:rPr>
        <w:t xml:space="preserve">nicméně </w:t>
      </w:r>
      <w:r w:rsidR="00CB0D30">
        <w:rPr>
          <w:szCs w:val="20"/>
        </w:rPr>
        <w:t>zvýšila</w:t>
      </w:r>
      <w:r w:rsidR="007267BF">
        <w:rPr>
          <w:szCs w:val="20"/>
        </w:rPr>
        <w:t xml:space="preserve"> a</w:t>
      </w:r>
      <w:r w:rsidR="00CB0D30">
        <w:rPr>
          <w:szCs w:val="20"/>
        </w:rPr>
        <w:t xml:space="preserve"> </w:t>
      </w:r>
      <w:r w:rsidR="0039199A">
        <w:rPr>
          <w:szCs w:val="20"/>
        </w:rPr>
        <w:t xml:space="preserve">míra </w:t>
      </w:r>
      <w:r w:rsidR="00CB0D30">
        <w:rPr>
          <w:szCs w:val="20"/>
        </w:rPr>
        <w:t>nezaměstnanost</w:t>
      </w:r>
      <w:r w:rsidR="0039199A">
        <w:rPr>
          <w:szCs w:val="20"/>
        </w:rPr>
        <w:t>i</w:t>
      </w:r>
      <w:r w:rsidR="00CB0D30">
        <w:rPr>
          <w:szCs w:val="20"/>
        </w:rPr>
        <w:t xml:space="preserve"> stagnovala</w:t>
      </w:r>
      <w:r w:rsidR="0039199A">
        <w:rPr>
          <w:szCs w:val="20"/>
        </w:rPr>
        <w:t xml:space="preserve"> na hodnotě 2,2 %</w:t>
      </w:r>
      <w:r w:rsidR="000C6FCF">
        <w:rPr>
          <w:szCs w:val="20"/>
        </w:rPr>
        <w:t>.</w:t>
      </w:r>
    </w:p>
    <w:p w14:paraId="2EE5C550" w14:textId="77777777" w:rsidR="00A46E8F" w:rsidRPr="00A46E8F" w:rsidRDefault="00A46E8F" w:rsidP="00A46E8F">
      <w:pPr>
        <w:rPr>
          <w:rFonts w:eastAsia="Times New Roman"/>
          <w:b/>
          <w:bCs/>
          <w:szCs w:val="28"/>
        </w:rPr>
      </w:pPr>
      <w:r w:rsidRPr="00A46E8F">
        <w:rPr>
          <w:rFonts w:eastAsia="Times New Roman"/>
          <w:b/>
          <w:bCs/>
          <w:szCs w:val="28"/>
        </w:rPr>
        <w:t>Zaměstnanost, nezaměstnanost a ekonomická neaktivita</w:t>
      </w:r>
    </w:p>
    <w:p w14:paraId="3FCF637B" w14:textId="77777777" w:rsidR="00D25B75" w:rsidRPr="00C40735" w:rsidRDefault="00A46E8F" w:rsidP="00A46E8F">
      <w:pPr>
        <w:rPr>
          <w:rFonts w:eastAsia="Times New Roman"/>
          <w:bCs/>
          <w:szCs w:val="28"/>
        </w:rPr>
      </w:pPr>
      <w:r w:rsidRPr="00A46E8F">
        <w:rPr>
          <w:rFonts w:eastAsia="Times New Roman"/>
          <w:bCs/>
          <w:szCs w:val="28"/>
        </w:rPr>
        <w:t xml:space="preserve">Výsledky Výběrového šetření pracovních sil (VŠPS) přinesly pro </w:t>
      </w:r>
      <w:r w:rsidR="0031570F">
        <w:rPr>
          <w:rFonts w:eastAsia="Times New Roman"/>
          <w:bCs/>
          <w:szCs w:val="28"/>
        </w:rPr>
        <w:t>4</w:t>
      </w:r>
      <w:r w:rsidRPr="00A46E8F">
        <w:rPr>
          <w:rFonts w:eastAsia="Times New Roman"/>
          <w:bCs/>
          <w:szCs w:val="28"/>
        </w:rPr>
        <w:t>. čtvrtletí 202</w:t>
      </w:r>
      <w:r w:rsidR="000C6FCF">
        <w:rPr>
          <w:rFonts w:eastAsia="Times New Roman"/>
          <w:bCs/>
          <w:szCs w:val="28"/>
        </w:rPr>
        <w:t>2</w:t>
      </w:r>
      <w:r w:rsidRPr="00A46E8F">
        <w:rPr>
          <w:rFonts w:eastAsia="Times New Roman"/>
          <w:bCs/>
          <w:szCs w:val="28"/>
        </w:rPr>
        <w:t xml:space="preserve"> me</w:t>
      </w:r>
      <w:r w:rsidR="009864CD">
        <w:rPr>
          <w:rFonts w:eastAsia="Times New Roman"/>
          <w:bCs/>
          <w:szCs w:val="28"/>
        </w:rPr>
        <w:t>ziroční nárůst zaměstnanosti o </w:t>
      </w:r>
      <w:r w:rsidR="0031570F">
        <w:rPr>
          <w:rFonts w:eastAsia="Times New Roman"/>
          <w:bCs/>
          <w:szCs w:val="28"/>
        </w:rPr>
        <w:t>45,2</w:t>
      </w:r>
      <w:r w:rsidR="00D25B75">
        <w:rPr>
          <w:rFonts w:eastAsia="Times New Roman"/>
          <w:bCs/>
          <w:szCs w:val="28"/>
        </w:rPr>
        <w:t> </w:t>
      </w:r>
      <w:r w:rsidRPr="00A46E8F">
        <w:rPr>
          <w:rFonts w:eastAsia="Times New Roman"/>
          <w:bCs/>
          <w:szCs w:val="28"/>
        </w:rPr>
        <w:t>t</w:t>
      </w:r>
      <w:r w:rsidR="000C6FCF">
        <w:rPr>
          <w:rFonts w:eastAsia="Times New Roman"/>
          <w:bCs/>
          <w:szCs w:val="28"/>
        </w:rPr>
        <w:t>is. Zaměstnaných tak přibylo o </w:t>
      </w:r>
      <w:r w:rsidR="0031570F">
        <w:rPr>
          <w:rFonts w:eastAsia="Times New Roman"/>
          <w:bCs/>
          <w:szCs w:val="28"/>
        </w:rPr>
        <w:t>1,0</w:t>
      </w:r>
      <w:r w:rsidR="000C6FCF">
        <w:rPr>
          <w:rFonts w:eastAsia="Times New Roman"/>
          <w:bCs/>
          <w:szCs w:val="28"/>
        </w:rPr>
        <w:t> </w:t>
      </w:r>
      <w:r w:rsidR="00294886">
        <w:rPr>
          <w:rFonts w:eastAsia="Times New Roman"/>
          <w:bCs/>
          <w:szCs w:val="28"/>
        </w:rPr>
        <w:t>%. V </w:t>
      </w:r>
      <w:r w:rsidRPr="00A46E8F">
        <w:rPr>
          <w:rFonts w:eastAsia="Times New Roman"/>
          <w:bCs/>
          <w:szCs w:val="28"/>
        </w:rPr>
        <w:t xml:space="preserve">mezičtvrtletním srovnání se zaměstnanost zvýšila o </w:t>
      </w:r>
      <w:r w:rsidR="0031570F">
        <w:rPr>
          <w:rFonts w:eastAsia="Times New Roman"/>
          <w:bCs/>
          <w:szCs w:val="28"/>
        </w:rPr>
        <w:t>37,7</w:t>
      </w:r>
      <w:r w:rsidRPr="00A46E8F">
        <w:rPr>
          <w:rFonts w:eastAsia="Times New Roman"/>
          <w:bCs/>
          <w:szCs w:val="28"/>
        </w:rPr>
        <w:t xml:space="preserve"> tis.</w:t>
      </w:r>
      <w:r w:rsidR="00D25B75">
        <w:rPr>
          <w:rFonts w:eastAsia="Times New Roman"/>
          <w:bCs/>
          <w:szCs w:val="28"/>
        </w:rPr>
        <w:t xml:space="preserve"> p</w:t>
      </w:r>
      <w:r w:rsidR="000C6FCF">
        <w:rPr>
          <w:rFonts w:eastAsia="Times New Roman"/>
          <w:bCs/>
          <w:szCs w:val="28"/>
        </w:rPr>
        <w:t>o očištění od sezó</w:t>
      </w:r>
      <w:r w:rsidR="000C6FCF" w:rsidRPr="00D25B75">
        <w:rPr>
          <w:rFonts w:eastAsia="Times New Roman"/>
          <w:bCs/>
          <w:szCs w:val="28"/>
        </w:rPr>
        <w:t>nních vlivů</w:t>
      </w:r>
      <w:r w:rsidR="00D25B75" w:rsidRPr="00D25B75">
        <w:rPr>
          <w:rFonts w:eastAsia="Times New Roman"/>
          <w:bCs/>
          <w:szCs w:val="28"/>
        </w:rPr>
        <w:t>.</w:t>
      </w:r>
      <w:r w:rsidR="006426AB">
        <w:rPr>
          <w:rFonts w:eastAsia="Times New Roman"/>
          <w:bCs/>
          <w:szCs w:val="28"/>
        </w:rPr>
        <w:t xml:space="preserve"> </w:t>
      </w:r>
      <w:r w:rsidRPr="00D25B75">
        <w:rPr>
          <w:rFonts w:eastAsia="Times New Roman"/>
          <w:bCs/>
          <w:szCs w:val="28"/>
        </w:rPr>
        <w:t xml:space="preserve">V meziročním nárůstu pracujících </w:t>
      </w:r>
      <w:r w:rsidR="0031570F">
        <w:rPr>
          <w:rFonts w:eastAsia="Times New Roman"/>
          <w:bCs/>
          <w:szCs w:val="28"/>
        </w:rPr>
        <w:t xml:space="preserve">opět </w:t>
      </w:r>
      <w:r w:rsidRPr="00D25B75">
        <w:rPr>
          <w:rFonts w:eastAsia="Times New Roman"/>
          <w:bCs/>
          <w:szCs w:val="28"/>
        </w:rPr>
        <w:t xml:space="preserve">dominovalo zvýšení počtu </w:t>
      </w:r>
      <w:r w:rsidR="0031570F">
        <w:rPr>
          <w:rFonts w:eastAsia="Times New Roman"/>
          <w:bCs/>
          <w:szCs w:val="28"/>
        </w:rPr>
        <w:t>pracujících žen (o 30,1 tis.),</w:t>
      </w:r>
      <w:r w:rsidRPr="00D25B75">
        <w:rPr>
          <w:rFonts w:eastAsia="Times New Roman"/>
          <w:bCs/>
          <w:szCs w:val="28"/>
        </w:rPr>
        <w:t xml:space="preserve"> </w:t>
      </w:r>
      <w:r w:rsidR="0031570F">
        <w:rPr>
          <w:rFonts w:eastAsia="Times New Roman"/>
          <w:bCs/>
          <w:szCs w:val="28"/>
        </w:rPr>
        <w:t>a celý nárůst byl tažen věkovou</w:t>
      </w:r>
      <w:r w:rsidR="00D25B75" w:rsidRPr="00D25B75">
        <w:rPr>
          <w:rFonts w:eastAsia="Times New Roman"/>
          <w:bCs/>
          <w:szCs w:val="28"/>
        </w:rPr>
        <w:t xml:space="preserve"> </w:t>
      </w:r>
      <w:r w:rsidRPr="00D25B75">
        <w:rPr>
          <w:rFonts w:eastAsia="Times New Roman"/>
          <w:bCs/>
          <w:szCs w:val="28"/>
        </w:rPr>
        <w:t xml:space="preserve">kategorií </w:t>
      </w:r>
      <w:r w:rsidR="0031570F" w:rsidRPr="00D25B75">
        <w:rPr>
          <w:rFonts w:eastAsia="Times New Roman"/>
          <w:bCs/>
          <w:szCs w:val="28"/>
        </w:rPr>
        <w:t>45-64 let</w:t>
      </w:r>
      <w:r w:rsidR="0031570F">
        <w:rPr>
          <w:rFonts w:eastAsia="Times New Roman"/>
          <w:bCs/>
          <w:szCs w:val="28"/>
        </w:rPr>
        <w:t xml:space="preserve"> (</w:t>
      </w:r>
      <w:r w:rsidR="00294886" w:rsidRPr="00D25B75">
        <w:rPr>
          <w:rFonts w:eastAsia="Times New Roman"/>
          <w:bCs/>
          <w:szCs w:val="28"/>
        </w:rPr>
        <w:t xml:space="preserve">přírůstek </w:t>
      </w:r>
      <w:r w:rsidR="00D25B75" w:rsidRPr="00D25B75">
        <w:rPr>
          <w:rFonts w:eastAsia="Times New Roman"/>
          <w:bCs/>
          <w:szCs w:val="28"/>
        </w:rPr>
        <w:t>o </w:t>
      </w:r>
      <w:r w:rsidR="0031570F">
        <w:rPr>
          <w:rFonts w:eastAsia="Times New Roman"/>
          <w:bCs/>
          <w:szCs w:val="28"/>
        </w:rPr>
        <w:t>45,3 </w:t>
      </w:r>
      <w:r w:rsidR="00D25B75" w:rsidRPr="00D25B75">
        <w:rPr>
          <w:rFonts w:eastAsia="Times New Roman"/>
          <w:bCs/>
          <w:szCs w:val="28"/>
        </w:rPr>
        <w:t>tis.</w:t>
      </w:r>
      <w:r w:rsidR="0031570F">
        <w:rPr>
          <w:rFonts w:eastAsia="Times New Roman"/>
          <w:bCs/>
          <w:szCs w:val="28"/>
        </w:rPr>
        <w:t>)</w:t>
      </w:r>
      <w:r w:rsidR="00D25B75" w:rsidRPr="00D25B75">
        <w:rPr>
          <w:rFonts w:eastAsia="Times New Roman"/>
          <w:bCs/>
          <w:szCs w:val="28"/>
        </w:rPr>
        <w:t>.</w:t>
      </w:r>
    </w:p>
    <w:p w14:paraId="12284239" w14:textId="77777777" w:rsidR="00C40735" w:rsidRDefault="00A46E8F" w:rsidP="00A46E8F">
      <w:pPr>
        <w:rPr>
          <w:rFonts w:eastAsia="Times New Roman"/>
          <w:bCs/>
          <w:color w:val="948A54" w:themeColor="background2" w:themeShade="80"/>
          <w:szCs w:val="28"/>
        </w:rPr>
      </w:pPr>
      <w:r w:rsidRPr="00C40735">
        <w:rPr>
          <w:rFonts w:eastAsia="Times New Roman"/>
          <w:bCs/>
          <w:szCs w:val="28"/>
        </w:rPr>
        <w:t xml:space="preserve">U podnikatelů bez zaměstnanců – pracujících na vlastní účet – </w:t>
      </w:r>
      <w:r w:rsidR="00C40735" w:rsidRPr="00C40735">
        <w:rPr>
          <w:rFonts w:eastAsia="Times New Roman"/>
          <w:bCs/>
          <w:szCs w:val="28"/>
        </w:rPr>
        <w:t xml:space="preserve">vzrostl </w:t>
      </w:r>
      <w:r w:rsidR="00252D4A">
        <w:rPr>
          <w:rFonts w:eastAsia="Times New Roman"/>
          <w:bCs/>
          <w:szCs w:val="28"/>
        </w:rPr>
        <w:t>počet zaměstnaných</w:t>
      </w:r>
      <w:r w:rsidRPr="00C40735">
        <w:rPr>
          <w:rFonts w:eastAsia="Times New Roman"/>
          <w:bCs/>
          <w:szCs w:val="28"/>
        </w:rPr>
        <w:t xml:space="preserve"> </w:t>
      </w:r>
      <w:r w:rsidR="00252D4A">
        <w:rPr>
          <w:rFonts w:eastAsia="Times New Roman"/>
          <w:bCs/>
          <w:szCs w:val="28"/>
        </w:rPr>
        <w:t>meziročně o </w:t>
      </w:r>
      <w:r w:rsidRPr="00C40735">
        <w:rPr>
          <w:rFonts w:eastAsia="Times New Roman"/>
          <w:bCs/>
          <w:szCs w:val="28"/>
        </w:rPr>
        <w:t>2</w:t>
      </w:r>
      <w:r w:rsidR="00C40735" w:rsidRPr="00C40735">
        <w:rPr>
          <w:rFonts w:eastAsia="Times New Roman"/>
          <w:bCs/>
          <w:szCs w:val="28"/>
        </w:rPr>
        <w:t>6,</w:t>
      </w:r>
      <w:r w:rsidR="0031570F">
        <w:rPr>
          <w:rFonts w:eastAsia="Times New Roman"/>
          <w:bCs/>
          <w:szCs w:val="28"/>
        </w:rPr>
        <w:t>5</w:t>
      </w:r>
      <w:r w:rsidR="00C40735" w:rsidRPr="00C40735">
        <w:rPr>
          <w:rFonts w:eastAsia="Times New Roman"/>
          <w:bCs/>
          <w:szCs w:val="28"/>
        </w:rPr>
        <w:t xml:space="preserve"> tis.,</w:t>
      </w:r>
      <w:r w:rsidRPr="00C40735">
        <w:rPr>
          <w:rFonts w:eastAsia="Times New Roman"/>
          <w:bCs/>
          <w:szCs w:val="28"/>
        </w:rPr>
        <w:t xml:space="preserve"> </w:t>
      </w:r>
      <w:r w:rsidR="00C40735" w:rsidRPr="00C40735">
        <w:rPr>
          <w:rFonts w:eastAsia="Times New Roman"/>
          <w:bCs/>
          <w:szCs w:val="28"/>
        </w:rPr>
        <w:t xml:space="preserve">naopak </w:t>
      </w:r>
      <w:r w:rsidRPr="00C40735">
        <w:rPr>
          <w:rFonts w:eastAsia="Times New Roman"/>
          <w:bCs/>
          <w:szCs w:val="28"/>
        </w:rPr>
        <w:t>u</w:t>
      </w:r>
      <w:r w:rsidR="00C40735" w:rsidRPr="00C40735">
        <w:rPr>
          <w:rFonts w:eastAsia="Times New Roman"/>
          <w:bCs/>
          <w:szCs w:val="28"/>
        </w:rPr>
        <w:t> </w:t>
      </w:r>
      <w:r w:rsidRPr="00C40735">
        <w:rPr>
          <w:rFonts w:eastAsia="Times New Roman"/>
          <w:bCs/>
          <w:szCs w:val="28"/>
        </w:rPr>
        <w:t xml:space="preserve">podnikatelů se zaměstnanci </w:t>
      </w:r>
      <w:r w:rsidR="00C40735" w:rsidRPr="00C40735">
        <w:rPr>
          <w:rFonts w:eastAsia="Times New Roman"/>
          <w:bCs/>
          <w:szCs w:val="28"/>
        </w:rPr>
        <w:t xml:space="preserve">došlo k poklesu </w:t>
      </w:r>
      <w:r w:rsidRPr="00C40735">
        <w:rPr>
          <w:rFonts w:eastAsia="Times New Roman"/>
          <w:bCs/>
          <w:szCs w:val="28"/>
        </w:rPr>
        <w:t>o</w:t>
      </w:r>
      <w:r w:rsidR="0031570F">
        <w:rPr>
          <w:rFonts w:eastAsia="Times New Roman"/>
          <w:bCs/>
          <w:szCs w:val="28"/>
        </w:rPr>
        <w:t> </w:t>
      </w:r>
      <w:r w:rsidRPr="00C40735">
        <w:rPr>
          <w:rFonts w:eastAsia="Times New Roman"/>
          <w:bCs/>
          <w:szCs w:val="28"/>
        </w:rPr>
        <w:t>9</w:t>
      </w:r>
      <w:r w:rsidR="0031570F">
        <w:rPr>
          <w:rFonts w:eastAsia="Times New Roman"/>
          <w:bCs/>
          <w:szCs w:val="28"/>
        </w:rPr>
        <w:t>,8</w:t>
      </w:r>
      <w:r w:rsidRPr="00C40735">
        <w:rPr>
          <w:rFonts w:eastAsia="Times New Roman"/>
          <w:bCs/>
          <w:szCs w:val="28"/>
        </w:rPr>
        <w:t xml:space="preserve"> tis.</w:t>
      </w:r>
      <w:r w:rsidR="00C40735" w:rsidRPr="00C40735">
        <w:rPr>
          <w:rFonts w:eastAsia="Times New Roman"/>
          <w:bCs/>
          <w:szCs w:val="28"/>
        </w:rPr>
        <w:t xml:space="preserve"> P</w:t>
      </w:r>
      <w:r w:rsidRPr="00C40735">
        <w:rPr>
          <w:rFonts w:eastAsia="Times New Roman"/>
          <w:bCs/>
          <w:szCs w:val="28"/>
        </w:rPr>
        <w:t>očet pomáh</w:t>
      </w:r>
      <w:r w:rsidR="00247632">
        <w:rPr>
          <w:rFonts w:eastAsia="Times New Roman"/>
          <w:bCs/>
          <w:szCs w:val="28"/>
        </w:rPr>
        <w:t xml:space="preserve">ajících rodinných příslušníků </w:t>
      </w:r>
      <w:r w:rsidR="0031570F">
        <w:rPr>
          <w:rFonts w:eastAsia="Times New Roman"/>
          <w:bCs/>
          <w:szCs w:val="28"/>
        </w:rPr>
        <w:t>se takřka nezměnil</w:t>
      </w:r>
      <w:r w:rsidRPr="00C40735">
        <w:rPr>
          <w:rFonts w:eastAsia="Times New Roman"/>
          <w:bCs/>
          <w:szCs w:val="28"/>
        </w:rPr>
        <w:t xml:space="preserve">. </w:t>
      </w:r>
      <w:r w:rsidR="00C40735" w:rsidRPr="00C40735">
        <w:rPr>
          <w:rFonts w:eastAsia="Times New Roman"/>
          <w:bCs/>
          <w:szCs w:val="28"/>
        </w:rPr>
        <w:t>N</w:t>
      </w:r>
      <w:r w:rsidR="00252D4A">
        <w:rPr>
          <w:rFonts w:eastAsia="Times New Roman"/>
          <w:bCs/>
          <w:szCs w:val="28"/>
        </w:rPr>
        <w:t xml:space="preserve">ejvýraznější </w:t>
      </w:r>
      <w:r w:rsidR="00C40735" w:rsidRPr="00C40735">
        <w:rPr>
          <w:rFonts w:eastAsia="Times New Roman"/>
          <w:bCs/>
          <w:szCs w:val="28"/>
        </w:rPr>
        <w:t xml:space="preserve">byl vzestup </w:t>
      </w:r>
      <w:r w:rsidR="00247632">
        <w:rPr>
          <w:rFonts w:eastAsia="Times New Roman"/>
          <w:bCs/>
          <w:szCs w:val="28"/>
        </w:rPr>
        <w:t xml:space="preserve">největší </w:t>
      </w:r>
      <w:r w:rsidRPr="00C40735">
        <w:rPr>
          <w:rFonts w:eastAsia="Times New Roman"/>
          <w:bCs/>
          <w:szCs w:val="28"/>
        </w:rPr>
        <w:t>skupiny zaměstnanců</w:t>
      </w:r>
      <w:r w:rsidR="00C40735" w:rsidRPr="00C40735">
        <w:rPr>
          <w:rFonts w:eastAsia="Times New Roman"/>
          <w:bCs/>
          <w:szCs w:val="28"/>
        </w:rPr>
        <w:t xml:space="preserve"> </w:t>
      </w:r>
      <w:r w:rsidR="0031570F">
        <w:rPr>
          <w:rFonts w:eastAsia="Times New Roman"/>
          <w:bCs/>
          <w:szCs w:val="28"/>
        </w:rPr>
        <w:t>(</w:t>
      </w:r>
      <w:r w:rsidR="00C40735" w:rsidRPr="00C40735">
        <w:rPr>
          <w:rFonts w:eastAsia="Times New Roman"/>
          <w:bCs/>
          <w:szCs w:val="28"/>
        </w:rPr>
        <w:t xml:space="preserve">o </w:t>
      </w:r>
      <w:r w:rsidR="0031570F">
        <w:rPr>
          <w:rFonts w:eastAsia="Times New Roman"/>
          <w:bCs/>
          <w:szCs w:val="28"/>
        </w:rPr>
        <w:t>26,2</w:t>
      </w:r>
      <w:r w:rsidR="00C40735" w:rsidRPr="00C40735">
        <w:rPr>
          <w:rFonts w:eastAsia="Times New Roman"/>
          <w:bCs/>
          <w:szCs w:val="28"/>
        </w:rPr>
        <w:t> tis.</w:t>
      </w:r>
      <w:r w:rsidR="0031570F">
        <w:rPr>
          <w:rFonts w:eastAsia="Times New Roman"/>
          <w:bCs/>
          <w:szCs w:val="28"/>
        </w:rPr>
        <w:t>), ovšem byl výrazně slabší než v minulém čtvrtletí.</w:t>
      </w:r>
    </w:p>
    <w:p w14:paraId="2D8144B2" w14:textId="77777777" w:rsidR="00A46E8F" w:rsidRPr="000C6FCF" w:rsidRDefault="00A46E8F" w:rsidP="00A46E8F">
      <w:pPr>
        <w:rPr>
          <w:rFonts w:eastAsia="Times New Roman"/>
          <w:bCs/>
          <w:color w:val="948A54" w:themeColor="background2" w:themeShade="80"/>
          <w:szCs w:val="28"/>
        </w:rPr>
      </w:pPr>
      <w:r w:rsidRPr="00252D4A">
        <w:rPr>
          <w:rFonts w:eastAsia="Times New Roman"/>
          <w:bCs/>
          <w:szCs w:val="28"/>
        </w:rPr>
        <w:t>Míra zaměstnanosti ve věkové skupině 1</w:t>
      </w:r>
      <w:r w:rsidR="00247632">
        <w:rPr>
          <w:rFonts w:eastAsia="Times New Roman"/>
          <w:bCs/>
          <w:szCs w:val="28"/>
        </w:rPr>
        <w:t>5–64 let se meziročně zvýšila o </w:t>
      </w:r>
      <w:r w:rsidR="0031570F">
        <w:rPr>
          <w:rFonts w:eastAsia="Times New Roman"/>
          <w:bCs/>
          <w:szCs w:val="28"/>
        </w:rPr>
        <w:t>0,6</w:t>
      </w:r>
      <w:r w:rsidRPr="00252D4A">
        <w:rPr>
          <w:rFonts w:eastAsia="Times New Roman"/>
          <w:bCs/>
          <w:szCs w:val="28"/>
        </w:rPr>
        <w:t xml:space="preserve"> p. b. na 75,</w:t>
      </w:r>
      <w:r w:rsidR="0031570F">
        <w:rPr>
          <w:rFonts w:eastAsia="Times New Roman"/>
          <w:bCs/>
          <w:szCs w:val="28"/>
        </w:rPr>
        <w:t>8</w:t>
      </w:r>
      <w:r w:rsidRPr="00252D4A">
        <w:rPr>
          <w:rFonts w:eastAsia="Times New Roman"/>
          <w:bCs/>
          <w:szCs w:val="28"/>
        </w:rPr>
        <w:t xml:space="preserve"> %, </w:t>
      </w:r>
      <w:r w:rsidR="00252D4A" w:rsidRPr="00252D4A">
        <w:t>U mužů vzrostla o </w:t>
      </w:r>
      <w:r w:rsidR="0031570F">
        <w:t>0,4</w:t>
      </w:r>
      <w:r w:rsidR="00252D4A" w:rsidRPr="00252D4A">
        <w:t> p. b. na 82,</w:t>
      </w:r>
      <w:r w:rsidR="0031570F">
        <w:t>2</w:t>
      </w:r>
      <w:r w:rsidR="00252D4A" w:rsidRPr="00252D4A">
        <w:t> %, více u žen o 0</w:t>
      </w:r>
      <w:r w:rsidR="0031570F">
        <w:t>,8</w:t>
      </w:r>
      <w:r w:rsidR="00252D4A" w:rsidRPr="00252D4A">
        <w:t> p. b. na 6</w:t>
      </w:r>
      <w:r w:rsidR="0031570F">
        <w:t>9,0</w:t>
      </w:r>
      <w:r w:rsidR="00252D4A" w:rsidRPr="00252D4A">
        <w:t xml:space="preserve"> %. Tento trend </w:t>
      </w:r>
      <w:r w:rsidR="00247632">
        <w:rPr>
          <w:rFonts w:eastAsia="Times New Roman"/>
          <w:bCs/>
          <w:szCs w:val="28"/>
        </w:rPr>
        <w:t>potvrzují i </w:t>
      </w:r>
      <w:r w:rsidRPr="00252D4A">
        <w:rPr>
          <w:rFonts w:eastAsia="Times New Roman"/>
          <w:bCs/>
          <w:szCs w:val="28"/>
        </w:rPr>
        <w:t>zrcadlové údaje o počt</w:t>
      </w:r>
      <w:r w:rsidR="00F4610D">
        <w:rPr>
          <w:rFonts w:eastAsia="Times New Roman"/>
          <w:bCs/>
          <w:szCs w:val="28"/>
        </w:rPr>
        <w:t xml:space="preserve">ech ekonomicky neaktivních. Za skupinu 15 a více let </w:t>
      </w:r>
      <w:r w:rsidRPr="00252D4A">
        <w:rPr>
          <w:rFonts w:eastAsia="Times New Roman"/>
          <w:bCs/>
          <w:szCs w:val="28"/>
        </w:rPr>
        <w:t xml:space="preserve">se meziročně snížil </w:t>
      </w:r>
      <w:r w:rsidR="00F4610D">
        <w:rPr>
          <w:rFonts w:eastAsia="Times New Roman"/>
          <w:bCs/>
          <w:szCs w:val="28"/>
        </w:rPr>
        <w:t>jejich počet o </w:t>
      </w:r>
      <w:r w:rsidR="00AD13FF">
        <w:rPr>
          <w:rFonts w:eastAsia="Times New Roman"/>
          <w:bCs/>
          <w:szCs w:val="28"/>
        </w:rPr>
        <w:t>35,2</w:t>
      </w:r>
      <w:r w:rsidRPr="00252D4A">
        <w:rPr>
          <w:rFonts w:eastAsia="Times New Roman"/>
          <w:bCs/>
          <w:szCs w:val="28"/>
        </w:rPr>
        <w:t xml:space="preserve"> tis. na hodnotu 3</w:t>
      </w:r>
      <w:r w:rsidR="00AD13FF">
        <w:rPr>
          <w:rFonts w:eastAsia="Times New Roman"/>
          <w:bCs/>
          <w:szCs w:val="28"/>
        </w:rPr>
        <w:t> </w:t>
      </w:r>
      <w:r w:rsidRPr="00252D4A">
        <w:rPr>
          <w:rFonts w:eastAsia="Times New Roman"/>
          <w:bCs/>
          <w:szCs w:val="28"/>
        </w:rPr>
        <w:t>5</w:t>
      </w:r>
      <w:r w:rsidR="00AD13FF">
        <w:rPr>
          <w:rFonts w:eastAsia="Times New Roman"/>
          <w:bCs/>
          <w:szCs w:val="28"/>
        </w:rPr>
        <w:t>23,1</w:t>
      </w:r>
      <w:r w:rsidRPr="00252D4A">
        <w:rPr>
          <w:rFonts w:eastAsia="Times New Roman"/>
          <w:bCs/>
          <w:szCs w:val="28"/>
        </w:rPr>
        <w:t xml:space="preserve"> tis.</w:t>
      </w:r>
      <w:r w:rsidR="00252D4A" w:rsidRPr="00252D4A">
        <w:rPr>
          <w:rFonts w:eastAsia="Times New Roman"/>
          <w:bCs/>
          <w:szCs w:val="28"/>
        </w:rPr>
        <w:t>, přiče</w:t>
      </w:r>
      <w:r w:rsidR="00F4610D">
        <w:rPr>
          <w:rFonts w:eastAsia="Times New Roman"/>
          <w:bCs/>
          <w:szCs w:val="28"/>
        </w:rPr>
        <w:t>mž neaktivních žen ubylo o </w:t>
      </w:r>
      <w:r w:rsidR="00AD13FF">
        <w:rPr>
          <w:rFonts w:eastAsia="Times New Roman"/>
          <w:bCs/>
          <w:szCs w:val="28"/>
        </w:rPr>
        <w:t>27,8</w:t>
      </w:r>
      <w:r w:rsidRPr="00252D4A">
        <w:rPr>
          <w:rFonts w:eastAsia="Times New Roman"/>
          <w:bCs/>
          <w:szCs w:val="28"/>
        </w:rPr>
        <w:t xml:space="preserve"> tis.</w:t>
      </w:r>
      <w:r w:rsidR="00F4610D">
        <w:rPr>
          <w:rFonts w:eastAsia="Times New Roman"/>
          <w:bCs/>
          <w:szCs w:val="28"/>
        </w:rPr>
        <w:t xml:space="preserve"> a </w:t>
      </w:r>
      <w:r w:rsidR="00252D4A" w:rsidRPr="00252D4A">
        <w:rPr>
          <w:rFonts w:eastAsia="Times New Roman"/>
          <w:bCs/>
          <w:szCs w:val="28"/>
        </w:rPr>
        <w:t xml:space="preserve">neaktivních mužů o </w:t>
      </w:r>
      <w:r w:rsidR="00AD13FF">
        <w:rPr>
          <w:rFonts w:eastAsia="Times New Roman"/>
          <w:bCs/>
          <w:szCs w:val="28"/>
        </w:rPr>
        <w:t>7,4 </w:t>
      </w:r>
      <w:r w:rsidRPr="00252D4A">
        <w:rPr>
          <w:rFonts w:eastAsia="Times New Roman"/>
          <w:bCs/>
          <w:szCs w:val="28"/>
        </w:rPr>
        <w:t>tis.</w:t>
      </w:r>
      <w:r w:rsidR="00247632">
        <w:rPr>
          <w:rFonts w:eastAsia="Times New Roman"/>
          <w:bCs/>
          <w:szCs w:val="28"/>
        </w:rPr>
        <w:t xml:space="preserve"> Počet nepracujících osob, které nesplňují podmínku pro zařazení mezi nezaměstnané, </w:t>
      </w:r>
      <w:r w:rsidR="00247632">
        <w:rPr>
          <w:rFonts w:cs="Arial"/>
          <w:color w:val="000000"/>
          <w:szCs w:val="20"/>
          <w:lang w:eastAsia="cs-CZ"/>
        </w:rPr>
        <w:t xml:space="preserve">ale přitom uvádějí, že by chtěly pracovat, se </w:t>
      </w:r>
      <w:r w:rsidR="009864CD">
        <w:rPr>
          <w:rFonts w:cs="Arial"/>
          <w:color w:val="000000"/>
          <w:szCs w:val="20"/>
          <w:lang w:eastAsia="cs-CZ"/>
        </w:rPr>
        <w:t xml:space="preserve">dále </w:t>
      </w:r>
      <w:r w:rsidR="00247632">
        <w:rPr>
          <w:rFonts w:cs="Arial"/>
          <w:color w:val="000000"/>
          <w:szCs w:val="20"/>
          <w:lang w:eastAsia="cs-CZ"/>
        </w:rPr>
        <w:t xml:space="preserve">meziročně snížil </w:t>
      </w:r>
      <w:r w:rsidR="00AD13FF">
        <w:rPr>
          <w:rFonts w:cs="Arial"/>
          <w:color w:val="000000"/>
          <w:szCs w:val="20"/>
          <w:lang w:eastAsia="cs-CZ"/>
        </w:rPr>
        <w:t>o 13,3 tis. n</w:t>
      </w:r>
      <w:r w:rsidR="00247632">
        <w:rPr>
          <w:rFonts w:cs="Arial"/>
          <w:color w:val="000000"/>
          <w:szCs w:val="20"/>
          <w:lang w:eastAsia="cs-CZ"/>
        </w:rPr>
        <w:t>a 5</w:t>
      </w:r>
      <w:r w:rsidR="00AD13FF">
        <w:rPr>
          <w:rFonts w:cs="Arial"/>
          <w:color w:val="000000"/>
          <w:szCs w:val="20"/>
          <w:lang w:eastAsia="cs-CZ"/>
        </w:rPr>
        <w:t>0,0</w:t>
      </w:r>
      <w:r w:rsidR="00247632">
        <w:rPr>
          <w:rFonts w:cs="Arial"/>
          <w:color w:val="000000"/>
          <w:szCs w:val="20"/>
          <w:lang w:eastAsia="cs-CZ"/>
        </w:rPr>
        <w:t> tis.</w:t>
      </w:r>
      <w:r w:rsidR="009864CD">
        <w:rPr>
          <w:rFonts w:cs="Arial"/>
          <w:color w:val="000000"/>
          <w:szCs w:val="20"/>
          <w:lang w:eastAsia="cs-CZ"/>
        </w:rPr>
        <w:t xml:space="preserve"> osob. Pracovní rezervy byly v Česku tedy silně vyčerpané.</w:t>
      </w:r>
    </w:p>
    <w:p w14:paraId="53353F26" w14:textId="77777777" w:rsidR="00AD13FF" w:rsidRDefault="00A46E8F" w:rsidP="00A46E8F">
      <w:pPr>
        <w:rPr>
          <w:rFonts w:eastAsia="Times New Roman"/>
          <w:bCs/>
          <w:szCs w:val="28"/>
        </w:rPr>
      </w:pPr>
      <w:r w:rsidRPr="00252D4A">
        <w:rPr>
          <w:rFonts w:eastAsia="Times New Roman"/>
          <w:bCs/>
          <w:szCs w:val="28"/>
        </w:rPr>
        <w:t>Celkový počet nezaměstnaných dle VŠPS (definice ILO – osoby aktivně hledající práci) dosáhl hodnoty 1</w:t>
      </w:r>
      <w:r w:rsidR="00AD13FF">
        <w:rPr>
          <w:rFonts w:eastAsia="Times New Roman"/>
          <w:bCs/>
          <w:szCs w:val="28"/>
        </w:rPr>
        <w:t>17</w:t>
      </w:r>
      <w:r w:rsidR="00252D4A" w:rsidRPr="00252D4A">
        <w:rPr>
          <w:rFonts w:eastAsia="Times New Roman"/>
          <w:bCs/>
          <w:szCs w:val="28"/>
        </w:rPr>
        <w:t>,</w:t>
      </w:r>
      <w:r w:rsidR="00AD13FF">
        <w:rPr>
          <w:rFonts w:eastAsia="Times New Roman"/>
          <w:bCs/>
          <w:szCs w:val="28"/>
        </w:rPr>
        <w:t>2</w:t>
      </w:r>
      <w:r w:rsidRPr="00252D4A">
        <w:rPr>
          <w:rFonts w:eastAsia="Times New Roman"/>
          <w:bCs/>
          <w:szCs w:val="28"/>
        </w:rPr>
        <w:t xml:space="preserve"> tis. osob, </w:t>
      </w:r>
      <w:r w:rsidR="00252D4A" w:rsidRPr="00252D4A">
        <w:rPr>
          <w:rFonts w:eastAsia="Times New Roman"/>
          <w:bCs/>
          <w:szCs w:val="28"/>
        </w:rPr>
        <w:t xml:space="preserve">což znamenalo </w:t>
      </w:r>
      <w:r w:rsidR="00AD13FF">
        <w:rPr>
          <w:rFonts w:eastAsia="Times New Roman"/>
          <w:bCs/>
          <w:szCs w:val="28"/>
        </w:rPr>
        <w:t xml:space="preserve">drobné </w:t>
      </w:r>
      <w:r w:rsidR="00252D4A" w:rsidRPr="00252D4A">
        <w:rPr>
          <w:rFonts w:eastAsia="Times New Roman"/>
          <w:bCs/>
          <w:szCs w:val="28"/>
        </w:rPr>
        <w:t xml:space="preserve">meziroční </w:t>
      </w:r>
      <w:r w:rsidR="00AD13FF">
        <w:rPr>
          <w:rFonts w:eastAsia="Times New Roman"/>
          <w:bCs/>
          <w:szCs w:val="28"/>
        </w:rPr>
        <w:t>zvýš</w:t>
      </w:r>
      <w:r w:rsidR="00252D4A" w:rsidRPr="00252D4A">
        <w:rPr>
          <w:rFonts w:eastAsia="Times New Roman"/>
          <w:bCs/>
          <w:szCs w:val="28"/>
        </w:rPr>
        <w:t xml:space="preserve">ení o </w:t>
      </w:r>
      <w:r w:rsidR="00AD13FF">
        <w:rPr>
          <w:rFonts w:eastAsia="Times New Roman"/>
          <w:bCs/>
          <w:szCs w:val="28"/>
        </w:rPr>
        <w:t>1,0</w:t>
      </w:r>
      <w:r w:rsidR="00252D4A" w:rsidRPr="00252D4A">
        <w:rPr>
          <w:rFonts w:eastAsia="Times New Roman"/>
          <w:bCs/>
          <w:szCs w:val="28"/>
        </w:rPr>
        <w:t xml:space="preserve"> tis.; </w:t>
      </w:r>
      <w:r w:rsidRPr="00252D4A">
        <w:rPr>
          <w:rFonts w:eastAsia="Times New Roman"/>
          <w:bCs/>
          <w:szCs w:val="28"/>
        </w:rPr>
        <w:t xml:space="preserve">po sezónním očištění </w:t>
      </w:r>
      <w:r w:rsidR="00AD13FF">
        <w:rPr>
          <w:rFonts w:eastAsia="Times New Roman"/>
          <w:bCs/>
          <w:szCs w:val="28"/>
        </w:rPr>
        <w:t xml:space="preserve">ale </w:t>
      </w:r>
      <w:r w:rsidRPr="00252D4A">
        <w:rPr>
          <w:rFonts w:eastAsia="Times New Roman"/>
          <w:bCs/>
          <w:szCs w:val="28"/>
        </w:rPr>
        <w:t xml:space="preserve">čísla ukazují mezičtvrtletní </w:t>
      </w:r>
      <w:r w:rsidR="00AD13FF">
        <w:rPr>
          <w:rFonts w:eastAsia="Times New Roman"/>
          <w:bCs/>
          <w:szCs w:val="28"/>
        </w:rPr>
        <w:t>pokles</w:t>
      </w:r>
      <w:r w:rsidR="00252D4A" w:rsidRPr="00252D4A">
        <w:rPr>
          <w:rFonts w:eastAsia="Times New Roman"/>
          <w:bCs/>
          <w:szCs w:val="28"/>
        </w:rPr>
        <w:t xml:space="preserve"> o </w:t>
      </w:r>
      <w:r w:rsidR="00AD13FF">
        <w:rPr>
          <w:rFonts w:eastAsia="Times New Roman"/>
          <w:bCs/>
          <w:szCs w:val="28"/>
        </w:rPr>
        <w:t>9,5</w:t>
      </w:r>
      <w:r w:rsidRPr="00252D4A">
        <w:rPr>
          <w:rFonts w:eastAsia="Times New Roman"/>
          <w:bCs/>
          <w:szCs w:val="28"/>
        </w:rPr>
        <w:t xml:space="preserve"> tis. osob.</w:t>
      </w:r>
      <w:r w:rsidR="00252D4A">
        <w:rPr>
          <w:rFonts w:eastAsia="Times New Roman"/>
          <w:bCs/>
          <w:szCs w:val="28"/>
        </w:rPr>
        <w:t xml:space="preserve"> </w:t>
      </w:r>
      <w:r w:rsidRPr="00252D4A">
        <w:rPr>
          <w:rFonts w:eastAsia="Times New Roman"/>
          <w:bCs/>
          <w:szCs w:val="28"/>
        </w:rPr>
        <w:t>Míra nezaměstnanosti tak ve věkové skupině 15–64letýc</w:t>
      </w:r>
      <w:r w:rsidRPr="007267BF">
        <w:rPr>
          <w:rFonts w:eastAsia="Times New Roman"/>
          <w:bCs/>
          <w:szCs w:val="28"/>
        </w:rPr>
        <w:t xml:space="preserve">h </w:t>
      </w:r>
      <w:r w:rsidR="00252D4A" w:rsidRPr="007267BF">
        <w:rPr>
          <w:rFonts w:eastAsia="Times New Roman"/>
          <w:bCs/>
          <w:szCs w:val="28"/>
        </w:rPr>
        <w:t xml:space="preserve">meziročně </w:t>
      </w:r>
      <w:r w:rsidR="00AD13FF">
        <w:rPr>
          <w:rFonts w:eastAsia="Times New Roman"/>
          <w:bCs/>
          <w:szCs w:val="28"/>
        </w:rPr>
        <w:t>stagnova</w:t>
      </w:r>
      <w:r w:rsidR="00AD13FF" w:rsidRPr="007267BF">
        <w:rPr>
          <w:rFonts w:eastAsia="Times New Roman"/>
          <w:bCs/>
          <w:szCs w:val="28"/>
        </w:rPr>
        <w:t>la</w:t>
      </w:r>
      <w:r w:rsidRPr="007267BF">
        <w:rPr>
          <w:rFonts w:eastAsia="Times New Roman"/>
          <w:bCs/>
          <w:szCs w:val="28"/>
        </w:rPr>
        <w:t xml:space="preserve"> na hodnot</w:t>
      </w:r>
      <w:r w:rsidR="00AD13FF">
        <w:rPr>
          <w:rFonts w:eastAsia="Times New Roman"/>
          <w:bCs/>
          <w:szCs w:val="28"/>
        </w:rPr>
        <w:t>ě</w:t>
      </w:r>
      <w:r w:rsidRPr="007267BF">
        <w:rPr>
          <w:rFonts w:eastAsia="Times New Roman"/>
          <w:bCs/>
          <w:szCs w:val="28"/>
        </w:rPr>
        <w:t xml:space="preserve"> 2,</w:t>
      </w:r>
      <w:r w:rsidR="00AD13FF">
        <w:rPr>
          <w:rFonts w:eastAsia="Times New Roman"/>
          <w:bCs/>
          <w:szCs w:val="28"/>
        </w:rPr>
        <w:t>2</w:t>
      </w:r>
      <w:r w:rsidR="00B22C44">
        <w:rPr>
          <w:rFonts w:eastAsia="Times New Roman"/>
          <w:bCs/>
          <w:szCs w:val="28"/>
        </w:rPr>
        <w:t> </w:t>
      </w:r>
      <w:r w:rsidR="00AD13FF">
        <w:rPr>
          <w:rFonts w:eastAsia="Times New Roman"/>
          <w:bCs/>
          <w:szCs w:val="28"/>
        </w:rPr>
        <w:t>%</w:t>
      </w:r>
      <w:r w:rsidR="00252D4A" w:rsidRPr="007267BF">
        <w:rPr>
          <w:rFonts w:eastAsia="Times New Roman"/>
          <w:bCs/>
          <w:szCs w:val="28"/>
        </w:rPr>
        <w:t xml:space="preserve">. </w:t>
      </w:r>
      <w:r w:rsidR="00AD13FF" w:rsidRPr="00716745">
        <w:rPr>
          <w:spacing w:val="-8"/>
        </w:rPr>
        <w:t>Z</w:t>
      </w:r>
      <w:r w:rsidR="00B22C44">
        <w:rPr>
          <w:spacing w:val="-8"/>
        </w:rPr>
        <w:t> </w:t>
      </w:r>
      <w:r w:rsidR="00AD13FF" w:rsidRPr="00AD13FF">
        <w:rPr>
          <w:spacing w:val="-8"/>
        </w:rPr>
        <w:t>regionálního pohledu</w:t>
      </w:r>
      <w:r w:rsidR="00AD13FF" w:rsidRPr="00716745">
        <w:rPr>
          <w:spacing w:val="-8"/>
        </w:rPr>
        <w:t xml:space="preserve"> byla míra nezaměstnanosti nejvyšší v Moravskoslezském </w:t>
      </w:r>
      <w:r w:rsidR="00B22C44" w:rsidRPr="00716745">
        <w:rPr>
          <w:spacing w:val="-8"/>
        </w:rPr>
        <w:t xml:space="preserve">kraji </w:t>
      </w:r>
      <w:r w:rsidR="00AD13FF" w:rsidRPr="00716745">
        <w:rPr>
          <w:spacing w:val="-8"/>
        </w:rPr>
        <w:t xml:space="preserve">(4,2 %), </w:t>
      </w:r>
      <w:r w:rsidR="00B22C44">
        <w:rPr>
          <w:spacing w:val="-8"/>
        </w:rPr>
        <w:t>dále v </w:t>
      </w:r>
      <w:r w:rsidR="00AD13FF" w:rsidRPr="00716745">
        <w:rPr>
          <w:spacing w:val="-8"/>
        </w:rPr>
        <w:t xml:space="preserve">Karlovarském (3,9 %) a Ústeckém (3,2 %). </w:t>
      </w:r>
      <w:r w:rsidR="00AD13FF" w:rsidRPr="004A45C7">
        <w:t>N</w:t>
      </w:r>
      <w:r w:rsidR="00AD13FF">
        <w:t>aopak n</w:t>
      </w:r>
      <w:r w:rsidR="00AD13FF" w:rsidRPr="004A45C7">
        <w:t xml:space="preserve">ejnižší míru v rámci Česka měl </w:t>
      </w:r>
      <w:r w:rsidR="00AD13FF">
        <w:t>Jihočeský</w:t>
      </w:r>
      <w:r w:rsidR="00AD13FF" w:rsidRPr="004A45C7">
        <w:t xml:space="preserve"> </w:t>
      </w:r>
      <w:r w:rsidR="00B22C44" w:rsidRPr="004A45C7">
        <w:t>kraj </w:t>
      </w:r>
      <w:r w:rsidR="00B22C44">
        <w:t xml:space="preserve"> </w:t>
      </w:r>
      <w:r w:rsidR="00AD13FF" w:rsidRPr="004A45C7">
        <w:t>(</w:t>
      </w:r>
      <w:r w:rsidR="00AD13FF">
        <w:t>1,2</w:t>
      </w:r>
      <w:r w:rsidR="00AD13FF" w:rsidRPr="004A45C7">
        <w:t> %).</w:t>
      </w:r>
      <w:r w:rsidR="00AD13FF" w:rsidRPr="00AD13FF">
        <w:rPr>
          <w:spacing w:val="-8"/>
        </w:rPr>
        <w:t xml:space="preserve"> </w:t>
      </w:r>
      <w:r w:rsidR="00AD13FF" w:rsidRPr="00716745">
        <w:rPr>
          <w:spacing w:val="-8"/>
        </w:rPr>
        <w:t>Nejvíce míra</w:t>
      </w:r>
      <w:r w:rsidR="00AD13FF" w:rsidRPr="004A45C7">
        <w:t xml:space="preserve"> nezaměstnanosti </w:t>
      </w:r>
      <w:r w:rsidR="00AD13FF">
        <w:t>po</w:t>
      </w:r>
      <w:r w:rsidR="00AD13FF" w:rsidRPr="004A45C7">
        <w:t>klesla v</w:t>
      </w:r>
      <w:r w:rsidR="00B22C44">
        <w:t> </w:t>
      </w:r>
      <w:r w:rsidR="00AD13FF">
        <w:t>Pardubickém kraji  (o 1</w:t>
      </w:r>
      <w:r w:rsidR="00B22C44">
        <w:t> p. </w:t>
      </w:r>
      <w:r w:rsidR="00AD13FF" w:rsidRPr="004A45C7">
        <w:t xml:space="preserve">b. na </w:t>
      </w:r>
      <w:r w:rsidR="00AD13FF">
        <w:t>1,3</w:t>
      </w:r>
      <w:r w:rsidR="00AD13FF" w:rsidRPr="004A45C7">
        <w:t> %)</w:t>
      </w:r>
      <w:r w:rsidR="00AD13FF">
        <w:t>.</w:t>
      </w:r>
    </w:p>
    <w:p w14:paraId="3CC47084" w14:textId="77777777" w:rsidR="00A46E8F" w:rsidRPr="000C6FCF" w:rsidRDefault="00A46E8F" w:rsidP="00A46E8F">
      <w:pPr>
        <w:rPr>
          <w:rFonts w:eastAsia="Times New Roman"/>
          <w:bCs/>
          <w:color w:val="948A54" w:themeColor="background2" w:themeShade="80"/>
          <w:szCs w:val="28"/>
        </w:rPr>
      </w:pPr>
      <w:r w:rsidRPr="007267BF">
        <w:rPr>
          <w:rFonts w:eastAsia="Times New Roman"/>
          <w:bCs/>
          <w:szCs w:val="28"/>
        </w:rPr>
        <w:t xml:space="preserve">Déle než rok </w:t>
      </w:r>
      <w:r w:rsidR="0085380D">
        <w:rPr>
          <w:rFonts w:eastAsia="Times New Roman"/>
          <w:bCs/>
          <w:szCs w:val="28"/>
        </w:rPr>
        <w:t>si hledalo zaměstnaní 26,9</w:t>
      </w:r>
      <w:r w:rsidRPr="007267BF">
        <w:rPr>
          <w:rFonts w:eastAsia="Times New Roman"/>
          <w:bCs/>
          <w:szCs w:val="28"/>
        </w:rPr>
        <w:t xml:space="preserve"> % nezaměstnaných (</w:t>
      </w:r>
      <w:r w:rsidR="0085380D">
        <w:rPr>
          <w:rFonts w:eastAsia="Times New Roman"/>
          <w:bCs/>
          <w:szCs w:val="28"/>
        </w:rPr>
        <w:t>31,5</w:t>
      </w:r>
      <w:r w:rsidRPr="007267BF">
        <w:rPr>
          <w:rFonts w:eastAsia="Times New Roman"/>
          <w:bCs/>
          <w:szCs w:val="28"/>
        </w:rPr>
        <w:t xml:space="preserve"> tis.), počet dlouhodobě nezaměstnaných se tak </w:t>
      </w:r>
      <w:r w:rsidR="0085380D">
        <w:rPr>
          <w:rFonts w:eastAsia="Times New Roman"/>
          <w:bCs/>
          <w:szCs w:val="28"/>
        </w:rPr>
        <w:t xml:space="preserve">výrazně </w:t>
      </w:r>
      <w:r w:rsidR="00B22C44">
        <w:rPr>
          <w:rFonts w:eastAsia="Times New Roman"/>
          <w:bCs/>
          <w:szCs w:val="28"/>
        </w:rPr>
        <w:t xml:space="preserve">meziročně </w:t>
      </w:r>
      <w:r w:rsidR="0085380D">
        <w:rPr>
          <w:rFonts w:eastAsia="Times New Roman"/>
          <w:bCs/>
          <w:szCs w:val="28"/>
        </w:rPr>
        <w:t>sníž</w:t>
      </w:r>
      <w:r w:rsidRPr="007267BF">
        <w:rPr>
          <w:rFonts w:eastAsia="Times New Roman"/>
          <w:bCs/>
          <w:szCs w:val="28"/>
        </w:rPr>
        <w:t xml:space="preserve">il o </w:t>
      </w:r>
      <w:r w:rsidR="0085380D">
        <w:rPr>
          <w:rFonts w:eastAsia="Times New Roman"/>
          <w:bCs/>
          <w:szCs w:val="28"/>
        </w:rPr>
        <w:t>22,0</w:t>
      </w:r>
      <w:r w:rsidRPr="007267BF">
        <w:rPr>
          <w:rFonts w:eastAsia="Times New Roman"/>
          <w:bCs/>
          <w:szCs w:val="28"/>
        </w:rPr>
        <w:t xml:space="preserve"> tis.</w:t>
      </w:r>
    </w:p>
    <w:p w14:paraId="571D5E61" w14:textId="77777777" w:rsidR="00A56C80" w:rsidRPr="007267BF" w:rsidRDefault="00A46E8F" w:rsidP="00A46E8F">
      <w:pPr>
        <w:rPr>
          <w:rFonts w:eastAsia="Times New Roman"/>
          <w:bCs/>
          <w:szCs w:val="28"/>
        </w:rPr>
      </w:pPr>
      <w:r w:rsidRPr="007267BF">
        <w:rPr>
          <w:rFonts w:eastAsia="Times New Roman"/>
          <w:bCs/>
          <w:szCs w:val="28"/>
        </w:rPr>
        <w:t xml:space="preserve">Je nutné připomenout, že </w:t>
      </w:r>
      <w:r w:rsidR="0039199A">
        <w:rPr>
          <w:rFonts w:eastAsia="Times New Roman"/>
          <w:bCs/>
          <w:szCs w:val="28"/>
        </w:rPr>
        <w:t xml:space="preserve">terénní praxe </w:t>
      </w:r>
      <w:r w:rsidRPr="007267BF">
        <w:rPr>
          <w:rFonts w:eastAsia="Times New Roman"/>
          <w:bCs/>
          <w:szCs w:val="28"/>
        </w:rPr>
        <w:t>VŠPS pokrývá jen osoby bydlící v</w:t>
      </w:r>
      <w:r w:rsidR="00247632">
        <w:rPr>
          <w:rFonts w:eastAsia="Times New Roman"/>
          <w:bCs/>
          <w:szCs w:val="28"/>
        </w:rPr>
        <w:t xml:space="preserve"> bytech, nikoli na ubytovnách a </w:t>
      </w:r>
      <w:r w:rsidRPr="007267BF">
        <w:rPr>
          <w:rFonts w:eastAsia="Times New Roman"/>
          <w:bCs/>
          <w:szCs w:val="28"/>
        </w:rPr>
        <w:t xml:space="preserve">podobných kolektivních domácnostech, což negativně ovlivňuje zachycení </w:t>
      </w:r>
      <w:r w:rsidR="0039199A">
        <w:rPr>
          <w:rFonts w:eastAsia="Times New Roman"/>
          <w:bCs/>
          <w:szCs w:val="28"/>
        </w:rPr>
        <w:t xml:space="preserve">pracovní aktivity </w:t>
      </w:r>
      <w:r w:rsidRPr="007267BF">
        <w:rPr>
          <w:rFonts w:eastAsia="Times New Roman"/>
          <w:bCs/>
          <w:szCs w:val="28"/>
        </w:rPr>
        <w:t>cizinců, kteří takové způsoby bydlení často využívají.</w:t>
      </w:r>
      <w:r w:rsidR="0039199A" w:rsidRPr="0039199A">
        <w:t xml:space="preserve"> </w:t>
      </w:r>
      <w:r w:rsidR="0039199A">
        <w:t>VŠPS je výběrové šetření v domácnostech, které je váženo a dopočítáváno na údaje demografické statistiky ČR, přičemž populační váhy dosud nezahrnovaly válečné uprchlíky z Ukrajiny.</w:t>
      </w:r>
    </w:p>
    <w:p w14:paraId="1CBA94B2" w14:textId="77777777" w:rsidR="00252D4A" w:rsidRPr="000C6FCF" w:rsidRDefault="00252D4A" w:rsidP="00A46E8F">
      <w:pPr>
        <w:rPr>
          <w:color w:val="948A54" w:themeColor="background2" w:themeShade="80"/>
        </w:rPr>
      </w:pPr>
    </w:p>
    <w:p w14:paraId="3CE721E4" w14:textId="77777777" w:rsidR="00A46E8F" w:rsidRPr="00253201" w:rsidRDefault="00A46E8F" w:rsidP="00A46E8F">
      <w:pPr>
        <w:pStyle w:val="Nadpis1"/>
      </w:pPr>
      <w:r w:rsidRPr="00253201">
        <w:t>Evidenční počet zaměstnanců přepočtený na plně zaměstnané</w:t>
      </w:r>
    </w:p>
    <w:p w14:paraId="0A0C0EA2" w14:textId="77777777" w:rsidR="00387A17" w:rsidRPr="00594733" w:rsidRDefault="007267BF" w:rsidP="00A46E8F">
      <w:pPr>
        <w:pStyle w:val="Perex"/>
        <w:spacing w:after="0"/>
        <w:rPr>
          <w:b w:val="0"/>
          <w:szCs w:val="20"/>
          <w:lang w:eastAsia="cs-CZ"/>
        </w:rPr>
      </w:pPr>
      <w:r w:rsidRPr="0039199A">
        <w:rPr>
          <w:b w:val="0"/>
          <w:szCs w:val="20"/>
          <w:lang w:eastAsia="cs-CZ"/>
        </w:rPr>
        <w:t>M</w:t>
      </w:r>
      <w:r w:rsidR="00A46E8F" w:rsidRPr="0039199A">
        <w:rPr>
          <w:b w:val="0"/>
          <w:szCs w:val="20"/>
          <w:lang w:eastAsia="cs-CZ"/>
        </w:rPr>
        <w:t xml:space="preserve">eziroční </w:t>
      </w:r>
      <w:r w:rsidR="00A46E8F" w:rsidRPr="00237262">
        <w:rPr>
          <w:b w:val="0"/>
          <w:szCs w:val="20"/>
          <w:lang w:eastAsia="cs-CZ"/>
        </w:rPr>
        <w:t>nárůst evidenčního počtu zaměstnanců</w:t>
      </w:r>
      <w:r w:rsidRPr="00237262">
        <w:rPr>
          <w:b w:val="0"/>
          <w:szCs w:val="20"/>
          <w:lang w:eastAsia="cs-CZ"/>
        </w:rPr>
        <w:t xml:space="preserve"> o </w:t>
      </w:r>
      <w:r w:rsidR="00594733" w:rsidRPr="00237262">
        <w:rPr>
          <w:b w:val="0"/>
          <w:szCs w:val="20"/>
          <w:lang w:eastAsia="cs-CZ"/>
        </w:rPr>
        <w:t>34,8</w:t>
      </w:r>
      <w:r w:rsidRPr="00237262">
        <w:rPr>
          <w:b w:val="0"/>
          <w:szCs w:val="20"/>
          <w:lang w:eastAsia="cs-CZ"/>
        </w:rPr>
        <w:t xml:space="preserve"> tis. </w:t>
      </w:r>
      <w:r w:rsidR="00387A17" w:rsidRPr="00237262">
        <w:rPr>
          <w:b w:val="0"/>
          <w:szCs w:val="20"/>
          <w:lang w:eastAsia="cs-CZ"/>
        </w:rPr>
        <w:t>(</w:t>
      </w:r>
      <w:r w:rsidR="00594733" w:rsidRPr="00237262">
        <w:rPr>
          <w:b w:val="0"/>
          <w:szCs w:val="20"/>
          <w:lang w:eastAsia="cs-CZ"/>
        </w:rPr>
        <w:t>0,9</w:t>
      </w:r>
      <w:r w:rsidR="00387A17" w:rsidRPr="00237262">
        <w:rPr>
          <w:b w:val="0"/>
          <w:szCs w:val="20"/>
          <w:lang w:eastAsia="cs-CZ"/>
        </w:rPr>
        <w:t xml:space="preserve"> %) </w:t>
      </w:r>
      <w:r w:rsidRPr="00237262">
        <w:rPr>
          <w:b w:val="0"/>
          <w:szCs w:val="20"/>
          <w:lang w:eastAsia="cs-CZ"/>
        </w:rPr>
        <w:t xml:space="preserve">se ve světle přílivu uprchlíků z Ukrajiny může jevit </w:t>
      </w:r>
      <w:r w:rsidR="00387A17" w:rsidRPr="00237262">
        <w:rPr>
          <w:b w:val="0"/>
          <w:szCs w:val="20"/>
          <w:lang w:eastAsia="cs-CZ"/>
        </w:rPr>
        <w:t xml:space="preserve">nízký. </w:t>
      </w:r>
      <w:r w:rsidR="00034E23" w:rsidRPr="00237262">
        <w:rPr>
          <w:b w:val="0"/>
          <w:szCs w:val="20"/>
          <w:lang w:eastAsia="cs-CZ"/>
        </w:rPr>
        <w:t>Vysvětlení</w:t>
      </w:r>
      <w:r w:rsidR="00387A17" w:rsidRPr="00237262">
        <w:rPr>
          <w:b w:val="0"/>
          <w:szCs w:val="20"/>
          <w:lang w:eastAsia="cs-CZ"/>
        </w:rPr>
        <w:t xml:space="preserve"> </w:t>
      </w:r>
      <w:r w:rsidR="00034E23" w:rsidRPr="00237262">
        <w:rPr>
          <w:b w:val="0"/>
          <w:szCs w:val="20"/>
          <w:lang w:eastAsia="cs-CZ"/>
        </w:rPr>
        <w:t>nabízí</w:t>
      </w:r>
      <w:r w:rsidR="00387A17" w:rsidRPr="00237262">
        <w:rPr>
          <w:b w:val="0"/>
          <w:szCs w:val="20"/>
          <w:lang w:eastAsia="cs-CZ"/>
        </w:rPr>
        <w:t xml:space="preserve"> </w:t>
      </w:r>
      <w:r w:rsidR="00594733" w:rsidRPr="00237262">
        <w:rPr>
          <w:b w:val="0"/>
          <w:szCs w:val="20"/>
          <w:lang w:eastAsia="cs-CZ"/>
        </w:rPr>
        <w:t xml:space="preserve">jejich časté </w:t>
      </w:r>
      <w:r w:rsidR="00387A17" w:rsidRPr="00237262">
        <w:rPr>
          <w:b w:val="0"/>
          <w:szCs w:val="20"/>
          <w:lang w:eastAsia="cs-CZ"/>
        </w:rPr>
        <w:t xml:space="preserve">zaměstnávání na dohody mimo </w:t>
      </w:r>
      <w:r w:rsidR="00387A17" w:rsidRPr="00237262">
        <w:rPr>
          <w:b w:val="0"/>
          <w:szCs w:val="20"/>
          <w:lang w:eastAsia="cs-CZ"/>
        </w:rPr>
        <w:lastRenderedPageBreak/>
        <w:t>pracovní poměr. Je také nutné si uvědomit, že jde o přepočtené počty zaměstnanců (FTE), přičemž velký počet žen s dětmi byl schopen pracovat pouze</w:t>
      </w:r>
      <w:r w:rsidR="00387A17" w:rsidRPr="00594733">
        <w:rPr>
          <w:b w:val="0"/>
          <w:szCs w:val="20"/>
          <w:lang w:eastAsia="cs-CZ"/>
        </w:rPr>
        <w:t xml:space="preserve"> na kratší úvazky.</w:t>
      </w:r>
      <w:r w:rsidR="00C61306">
        <w:rPr>
          <w:b w:val="0"/>
          <w:szCs w:val="20"/>
          <w:lang w:eastAsia="cs-CZ"/>
        </w:rPr>
        <w:t xml:space="preserve"> Na druhé straně patrně došlo také k úbytku zaměstnanců pocházejících z jiných zemí (Rumunsko, Bulharsko).</w:t>
      </w:r>
    </w:p>
    <w:p w14:paraId="0B9A186C" w14:textId="77777777" w:rsidR="0008391B" w:rsidRPr="00A71452" w:rsidRDefault="00A46E8F" w:rsidP="00A46E8F">
      <w:pPr>
        <w:pStyle w:val="Perex"/>
        <w:spacing w:after="0"/>
        <w:rPr>
          <w:b w:val="0"/>
        </w:rPr>
      </w:pPr>
      <w:r w:rsidRPr="0008391B">
        <w:rPr>
          <w:b w:val="0"/>
        </w:rPr>
        <w:t xml:space="preserve">Z hlediska jednotlivých odvětví byla situace velmi různorodá. </w:t>
      </w:r>
      <w:r w:rsidR="00387A17" w:rsidRPr="0008391B">
        <w:rPr>
          <w:b w:val="0"/>
        </w:rPr>
        <w:t xml:space="preserve">V </w:t>
      </w:r>
      <w:r w:rsidR="00A71452">
        <w:rPr>
          <w:b w:val="0"/>
        </w:rPr>
        <w:t>devít</w:t>
      </w:r>
      <w:r w:rsidRPr="0008391B">
        <w:rPr>
          <w:b w:val="0"/>
        </w:rPr>
        <w:t xml:space="preserve">i sekcích CZ-NACE se počet zaměstnanců snížil, ve zbylých </w:t>
      </w:r>
      <w:r w:rsidR="00A71452">
        <w:rPr>
          <w:b w:val="0"/>
        </w:rPr>
        <w:t xml:space="preserve">deseti </w:t>
      </w:r>
      <w:r w:rsidRPr="0008391B">
        <w:rPr>
          <w:b w:val="0"/>
        </w:rPr>
        <w:t>zvýšil, celkově v rozsahu od -</w:t>
      </w:r>
      <w:r w:rsidR="0008391B" w:rsidRPr="0008391B">
        <w:rPr>
          <w:b w:val="0"/>
        </w:rPr>
        <w:t>3,</w:t>
      </w:r>
      <w:r w:rsidR="00387A17" w:rsidRPr="0008391B">
        <w:rPr>
          <w:b w:val="0"/>
        </w:rPr>
        <w:t>4</w:t>
      </w:r>
      <w:r w:rsidRPr="0008391B">
        <w:rPr>
          <w:b w:val="0"/>
        </w:rPr>
        <w:t xml:space="preserve"> % </w:t>
      </w:r>
      <w:r w:rsidR="0008391B">
        <w:rPr>
          <w:b w:val="0"/>
        </w:rPr>
        <w:t xml:space="preserve">až </w:t>
      </w:r>
      <w:r w:rsidRPr="0008391B">
        <w:rPr>
          <w:b w:val="0"/>
        </w:rPr>
        <w:t>do </w:t>
      </w:r>
      <w:r w:rsidR="0008391B" w:rsidRPr="0008391B">
        <w:rPr>
          <w:b w:val="0"/>
        </w:rPr>
        <w:t>9,0</w:t>
      </w:r>
      <w:r w:rsidRPr="0008391B">
        <w:rPr>
          <w:b w:val="0"/>
        </w:rPr>
        <w:t xml:space="preserve"> %. </w:t>
      </w:r>
      <w:r w:rsidR="0009748F" w:rsidRPr="0008391B">
        <w:rPr>
          <w:b w:val="0"/>
        </w:rPr>
        <w:t>Ten r</w:t>
      </w:r>
      <w:r w:rsidRPr="0008391B">
        <w:rPr>
          <w:b w:val="0"/>
        </w:rPr>
        <w:t>elativně nejv</w:t>
      </w:r>
      <w:r w:rsidR="00387A17" w:rsidRPr="0008391B">
        <w:rPr>
          <w:b w:val="0"/>
        </w:rPr>
        <w:t>ětš</w:t>
      </w:r>
      <w:r w:rsidRPr="0008391B">
        <w:rPr>
          <w:b w:val="0"/>
        </w:rPr>
        <w:t xml:space="preserve">í nárůst najdeme </w:t>
      </w:r>
      <w:r w:rsidR="0008391B">
        <w:rPr>
          <w:b w:val="0"/>
        </w:rPr>
        <w:t xml:space="preserve">opětovně </w:t>
      </w:r>
      <w:r w:rsidRPr="0008391B">
        <w:rPr>
          <w:b w:val="0"/>
        </w:rPr>
        <w:t>v</w:t>
      </w:r>
      <w:r w:rsidR="007A4B39">
        <w:rPr>
          <w:b w:val="0"/>
        </w:rPr>
        <w:t>e čtvrté nejmenší</w:t>
      </w:r>
      <w:r w:rsidR="00387A17" w:rsidRPr="0008391B">
        <w:rPr>
          <w:b w:val="0"/>
        </w:rPr>
        <w:t xml:space="preserve"> </w:t>
      </w:r>
      <w:r w:rsidRPr="0008391B">
        <w:rPr>
          <w:b w:val="0"/>
        </w:rPr>
        <w:t xml:space="preserve">sekci </w:t>
      </w:r>
      <w:r w:rsidR="00387A17" w:rsidRPr="0008391B">
        <w:rPr>
          <w:b w:val="0"/>
        </w:rPr>
        <w:t>činnosti v oblasti nemovitostí</w:t>
      </w:r>
      <w:r w:rsidRPr="0008391B">
        <w:rPr>
          <w:b w:val="0"/>
        </w:rPr>
        <w:t>, poče</w:t>
      </w:r>
      <w:r w:rsidR="00387A17" w:rsidRPr="0008391B">
        <w:rPr>
          <w:b w:val="0"/>
        </w:rPr>
        <w:t>tně představuje zvýšení jen o </w:t>
      </w:r>
      <w:r w:rsidR="0008391B" w:rsidRPr="0008391B">
        <w:rPr>
          <w:b w:val="0"/>
        </w:rPr>
        <w:t>3,9</w:t>
      </w:r>
      <w:r w:rsidR="00387A17" w:rsidRPr="0008391B">
        <w:rPr>
          <w:b w:val="0"/>
        </w:rPr>
        <w:t> </w:t>
      </w:r>
      <w:r w:rsidRPr="0008391B">
        <w:rPr>
          <w:b w:val="0"/>
        </w:rPr>
        <w:t>tis.</w:t>
      </w:r>
      <w:r w:rsidR="0008391B" w:rsidRPr="0008391B">
        <w:rPr>
          <w:b w:val="0"/>
        </w:rPr>
        <w:t> </w:t>
      </w:r>
      <w:r w:rsidRPr="0008391B">
        <w:rPr>
          <w:b w:val="0"/>
        </w:rPr>
        <w:t>míst.</w:t>
      </w:r>
      <w:r w:rsidR="00387A17" w:rsidRPr="0008391B">
        <w:rPr>
          <w:b w:val="0"/>
        </w:rPr>
        <w:t xml:space="preserve"> </w:t>
      </w:r>
      <w:r w:rsidR="0008391B">
        <w:rPr>
          <w:b w:val="0"/>
        </w:rPr>
        <w:t xml:space="preserve">Významnější byl </w:t>
      </w:r>
      <w:r w:rsidR="00A73137" w:rsidRPr="0008391B">
        <w:rPr>
          <w:b w:val="0"/>
        </w:rPr>
        <w:t>n</w:t>
      </w:r>
      <w:r w:rsidR="000C14D9" w:rsidRPr="0008391B">
        <w:rPr>
          <w:b w:val="0"/>
        </w:rPr>
        <w:t>á</w:t>
      </w:r>
      <w:r w:rsidR="00A73137" w:rsidRPr="0008391B">
        <w:rPr>
          <w:b w:val="0"/>
        </w:rPr>
        <w:t>r</w:t>
      </w:r>
      <w:r w:rsidR="000C14D9" w:rsidRPr="0008391B">
        <w:rPr>
          <w:b w:val="0"/>
        </w:rPr>
        <w:t>ůst poč</w:t>
      </w:r>
      <w:r w:rsidR="00A73137" w:rsidRPr="0008391B">
        <w:rPr>
          <w:b w:val="0"/>
        </w:rPr>
        <w:t>t</w:t>
      </w:r>
      <w:r w:rsidR="000C14D9" w:rsidRPr="0008391B">
        <w:rPr>
          <w:b w:val="0"/>
        </w:rPr>
        <w:t>u</w:t>
      </w:r>
      <w:r w:rsidR="00A73137" w:rsidRPr="0008391B">
        <w:rPr>
          <w:b w:val="0"/>
        </w:rPr>
        <w:t xml:space="preserve"> zaměst</w:t>
      </w:r>
      <w:r w:rsidR="00446AA2" w:rsidRPr="0008391B">
        <w:rPr>
          <w:b w:val="0"/>
        </w:rPr>
        <w:t>nanců v</w:t>
      </w:r>
      <w:r w:rsidR="00E2147D">
        <w:rPr>
          <w:b w:val="0"/>
        </w:rPr>
        <w:t> </w:t>
      </w:r>
      <w:r w:rsidR="0008391B" w:rsidRPr="0008391B">
        <w:rPr>
          <w:b w:val="0"/>
        </w:rPr>
        <w:t>informačních a komunikačních činnostech</w:t>
      </w:r>
      <w:r w:rsidR="0008391B">
        <w:rPr>
          <w:b w:val="0"/>
        </w:rPr>
        <w:t xml:space="preserve"> o </w:t>
      </w:r>
      <w:r w:rsidR="0008391B" w:rsidRPr="0008391B">
        <w:rPr>
          <w:b w:val="0"/>
        </w:rPr>
        <w:t xml:space="preserve">5,2 %, </w:t>
      </w:r>
      <w:r w:rsidR="0008391B">
        <w:rPr>
          <w:b w:val="0"/>
        </w:rPr>
        <w:t>neboť to</w:t>
      </w:r>
      <w:r w:rsidR="0008391B" w:rsidRPr="0008391B">
        <w:rPr>
          <w:b w:val="0"/>
        </w:rPr>
        <w:t xml:space="preserve"> byl</w:t>
      </w:r>
      <w:r w:rsidR="0008391B">
        <w:rPr>
          <w:b w:val="0"/>
        </w:rPr>
        <w:t>o</w:t>
      </w:r>
      <w:r w:rsidR="0008391B" w:rsidRPr="0008391B">
        <w:rPr>
          <w:b w:val="0"/>
        </w:rPr>
        <w:t xml:space="preserve"> </w:t>
      </w:r>
      <w:r w:rsidR="0008391B">
        <w:rPr>
          <w:b w:val="0"/>
        </w:rPr>
        <w:t>o </w:t>
      </w:r>
      <w:r w:rsidR="0008391B" w:rsidRPr="0008391B">
        <w:rPr>
          <w:b w:val="0"/>
        </w:rPr>
        <w:t>6,7 tis. míst. Toto odvětví roste dlouhodobě a aktuálně se dostalo na celkovou hodnotu 137,0 tis.</w:t>
      </w:r>
      <w:r w:rsidR="0008391B">
        <w:rPr>
          <w:b w:val="0"/>
        </w:rPr>
        <w:t xml:space="preserve"> Předstihuje tak u</w:t>
      </w:r>
      <w:r w:rsidR="0008391B" w:rsidRPr="0008391B">
        <w:rPr>
          <w:b w:val="0"/>
        </w:rPr>
        <w:t>bytování, stravování a pohostinství</w:t>
      </w:r>
      <w:r w:rsidR="0008391B">
        <w:rPr>
          <w:b w:val="0"/>
        </w:rPr>
        <w:t xml:space="preserve"> s </w:t>
      </w:r>
      <w:r w:rsidR="00E2147D">
        <w:rPr>
          <w:b w:val="0"/>
        </w:rPr>
        <w:t>hodnotou</w:t>
      </w:r>
      <w:r w:rsidR="0008391B">
        <w:rPr>
          <w:b w:val="0"/>
        </w:rPr>
        <w:t xml:space="preserve"> 109,3 tis.; tam najdeme třetí nejvýraznější </w:t>
      </w:r>
      <w:r w:rsidR="007601B3">
        <w:rPr>
          <w:b w:val="0"/>
        </w:rPr>
        <w:t xml:space="preserve">relativní </w:t>
      </w:r>
      <w:r w:rsidR="0008391B">
        <w:rPr>
          <w:b w:val="0"/>
        </w:rPr>
        <w:t>nárůst o 3,6 %, který početně znamenal 3,8 tis.</w:t>
      </w:r>
    </w:p>
    <w:p w14:paraId="31A7AA39" w14:textId="77777777" w:rsidR="0008391B" w:rsidRPr="00A71452" w:rsidRDefault="00034E23" w:rsidP="00A46E8F">
      <w:pPr>
        <w:pStyle w:val="Perex"/>
        <w:spacing w:after="0"/>
        <w:rPr>
          <w:b w:val="0"/>
        </w:rPr>
      </w:pPr>
      <w:r>
        <w:rPr>
          <w:b w:val="0"/>
        </w:rPr>
        <w:t>Dva p</w:t>
      </w:r>
      <w:r w:rsidR="00A71452" w:rsidRPr="00A71452">
        <w:rPr>
          <w:b w:val="0"/>
        </w:rPr>
        <w:t xml:space="preserve">očetně nejvýznamnější nárůsty ale byly v jiných odvětvích: ve vzdělávání přibylo 10,3 tis. míst a ve zdravotní a sociální péči 9,3 tis., relativně to představovalo 3,2 %, resp. 2,9 %, </w:t>
      </w:r>
      <w:r w:rsidR="00A71452">
        <w:rPr>
          <w:b w:val="0"/>
        </w:rPr>
        <w:t>s ohle</w:t>
      </w:r>
      <w:r w:rsidR="00A71452" w:rsidRPr="00A71452">
        <w:rPr>
          <w:b w:val="0"/>
        </w:rPr>
        <w:t>dem na velikost těchto sekcí CZ-NACE.</w:t>
      </w:r>
    </w:p>
    <w:p w14:paraId="083A0F06" w14:textId="77777777" w:rsidR="00A46E8F" w:rsidRPr="00A71452" w:rsidRDefault="00A71452" w:rsidP="00A46E8F">
      <w:pPr>
        <w:pStyle w:val="Perex"/>
        <w:spacing w:after="0"/>
        <w:rPr>
          <w:b w:val="0"/>
        </w:rPr>
      </w:pPr>
      <w:r w:rsidRPr="00A71452">
        <w:rPr>
          <w:b w:val="0"/>
        </w:rPr>
        <w:t>Výrazný</w:t>
      </w:r>
      <w:r w:rsidR="00034E23">
        <w:rPr>
          <w:b w:val="0"/>
        </w:rPr>
        <w:t xml:space="preserve"> absolutní nárůst o </w:t>
      </w:r>
      <w:r w:rsidRPr="00A71452">
        <w:rPr>
          <w:b w:val="0"/>
        </w:rPr>
        <w:t>6,4</w:t>
      </w:r>
      <w:r w:rsidR="0009748F" w:rsidRPr="00A71452">
        <w:rPr>
          <w:b w:val="0"/>
        </w:rPr>
        <w:t> </w:t>
      </w:r>
      <w:r w:rsidR="00A46E8F" w:rsidRPr="00A71452">
        <w:rPr>
          <w:b w:val="0"/>
        </w:rPr>
        <w:t xml:space="preserve">tis. najdeme </w:t>
      </w:r>
      <w:r w:rsidR="00034E23">
        <w:rPr>
          <w:b w:val="0"/>
        </w:rPr>
        <w:t xml:space="preserve">též </w:t>
      </w:r>
      <w:r w:rsidR="00A46E8F" w:rsidRPr="00A71452">
        <w:rPr>
          <w:b w:val="0"/>
        </w:rPr>
        <w:t>ve velkoo</w:t>
      </w:r>
      <w:r w:rsidR="000C14D9" w:rsidRPr="00A71452">
        <w:rPr>
          <w:b w:val="0"/>
        </w:rPr>
        <w:t>bchodě a maloobchodě, opravách a </w:t>
      </w:r>
      <w:r w:rsidR="00A46E8F" w:rsidRPr="00A71452">
        <w:rPr>
          <w:b w:val="0"/>
        </w:rPr>
        <w:t xml:space="preserve">údržbě motorových vozidel, </w:t>
      </w:r>
      <w:r w:rsidR="0009748F" w:rsidRPr="00A71452">
        <w:rPr>
          <w:b w:val="0"/>
        </w:rPr>
        <w:t>tat</w:t>
      </w:r>
      <w:r w:rsidR="0009748F" w:rsidRPr="00C71852">
        <w:rPr>
          <w:b w:val="0"/>
        </w:rPr>
        <w:t>o sekce je druhá největší, zaměstnává více než</w:t>
      </w:r>
      <w:r w:rsidR="00A46E8F" w:rsidRPr="00C71852">
        <w:rPr>
          <w:b w:val="0"/>
        </w:rPr>
        <w:t xml:space="preserve"> půl milionu </w:t>
      </w:r>
      <w:r w:rsidR="0009748F" w:rsidRPr="00C71852">
        <w:rPr>
          <w:b w:val="0"/>
        </w:rPr>
        <w:t>lidí</w:t>
      </w:r>
      <w:r w:rsidR="00A46E8F" w:rsidRPr="00C71852">
        <w:rPr>
          <w:b w:val="0"/>
        </w:rPr>
        <w:t xml:space="preserve"> (5</w:t>
      </w:r>
      <w:r w:rsidR="0009748F" w:rsidRPr="00C71852">
        <w:rPr>
          <w:b w:val="0"/>
        </w:rPr>
        <w:t>1</w:t>
      </w:r>
      <w:r w:rsidRPr="00C71852">
        <w:rPr>
          <w:b w:val="0"/>
        </w:rPr>
        <w:t>7</w:t>
      </w:r>
      <w:r w:rsidR="00A73137" w:rsidRPr="00C71852">
        <w:rPr>
          <w:b w:val="0"/>
        </w:rPr>
        <w:t>,</w:t>
      </w:r>
      <w:r w:rsidRPr="00C71852">
        <w:rPr>
          <w:b w:val="0"/>
        </w:rPr>
        <w:t>5</w:t>
      </w:r>
      <w:r w:rsidR="00A46E8F" w:rsidRPr="00C71852">
        <w:rPr>
          <w:b w:val="0"/>
        </w:rPr>
        <w:t xml:space="preserve"> tis.</w:t>
      </w:r>
      <w:r w:rsidR="0009748F" w:rsidRPr="00C71852">
        <w:rPr>
          <w:b w:val="0"/>
        </w:rPr>
        <w:t xml:space="preserve"> míst</w:t>
      </w:r>
      <w:r w:rsidR="00A46E8F" w:rsidRPr="00C71852">
        <w:rPr>
          <w:b w:val="0"/>
        </w:rPr>
        <w:t>).</w:t>
      </w:r>
      <w:r w:rsidRPr="00C71852">
        <w:rPr>
          <w:b w:val="0"/>
        </w:rPr>
        <w:t xml:space="preserve"> Profesní, vědecké a technické činnosti zvýšily počet zaměstnanců o 5,5 tis. (</w:t>
      </w:r>
      <w:r w:rsidR="00C71852" w:rsidRPr="00C71852">
        <w:rPr>
          <w:b w:val="0"/>
        </w:rPr>
        <w:t>3,2</w:t>
      </w:r>
      <w:r w:rsidRPr="00C71852">
        <w:rPr>
          <w:b w:val="0"/>
        </w:rPr>
        <w:t> %), čímž se dostaly na 17</w:t>
      </w:r>
      <w:r w:rsidR="00C71852" w:rsidRPr="00C71852">
        <w:rPr>
          <w:b w:val="0"/>
        </w:rPr>
        <w:t>4</w:t>
      </w:r>
      <w:r w:rsidRPr="00C71852">
        <w:rPr>
          <w:b w:val="0"/>
        </w:rPr>
        <w:t>,</w:t>
      </w:r>
      <w:r w:rsidR="00C71852" w:rsidRPr="00C71852">
        <w:rPr>
          <w:b w:val="0"/>
        </w:rPr>
        <w:t>9</w:t>
      </w:r>
      <w:r w:rsidRPr="00C71852">
        <w:rPr>
          <w:b w:val="0"/>
        </w:rPr>
        <w:t> tis.</w:t>
      </w:r>
    </w:p>
    <w:p w14:paraId="365F0324" w14:textId="77777777" w:rsidR="00C71852" w:rsidRPr="00C71852" w:rsidRDefault="00A71452" w:rsidP="00C71852">
      <w:pPr>
        <w:pStyle w:val="Perex"/>
        <w:spacing w:after="0"/>
        <w:rPr>
          <w:b w:val="0"/>
        </w:rPr>
      </w:pPr>
      <w:r w:rsidRPr="00A71452">
        <w:rPr>
          <w:b w:val="0"/>
        </w:rPr>
        <w:t>A nyní se podívejme na druhou skupinu</w:t>
      </w:r>
      <w:r w:rsidR="00C71852">
        <w:rPr>
          <w:b w:val="0"/>
        </w:rPr>
        <w:t xml:space="preserve"> sekcí</w:t>
      </w:r>
      <w:r w:rsidRPr="00A71452">
        <w:rPr>
          <w:b w:val="0"/>
        </w:rPr>
        <w:t xml:space="preserve">, kde počty zaměstnanců klesaly, a to v celkovém souhrnu o 11,9 tis. </w:t>
      </w:r>
      <w:r w:rsidR="00C71852">
        <w:rPr>
          <w:b w:val="0"/>
        </w:rPr>
        <w:t>Hlavní</w:t>
      </w:r>
      <w:r w:rsidR="00C71852" w:rsidRPr="00C71852">
        <w:rPr>
          <w:b w:val="0"/>
        </w:rPr>
        <w:t xml:space="preserve"> podílníci tohoto poklesu jsou dva. Zpracovatelský průmysl zůstává největší sekcí, aktuálně zaměstnává 1 092,4 tis. zaměstnanců, ovšem meziročně jich ubylo o 3,4 tis. (relativně 0,3 %). Zároveň nám tabulka 1 Rychlých informací o průměrných mzdách ukazuje oddíly CZ-NACE z této sekce, které jsou nejvýznamnější z hlediska počtu zaměstnanců. Přírůst</w:t>
      </w:r>
      <w:r w:rsidR="007A4B39">
        <w:rPr>
          <w:b w:val="0"/>
        </w:rPr>
        <w:t xml:space="preserve">ek počtu zaměstnanců aktuálně </w:t>
      </w:r>
      <w:r w:rsidR="00C71852" w:rsidRPr="00C71852">
        <w:rPr>
          <w:b w:val="0"/>
        </w:rPr>
        <w:t xml:space="preserve">najdeme </w:t>
      </w:r>
      <w:r w:rsidR="007A4B39">
        <w:rPr>
          <w:b w:val="0"/>
        </w:rPr>
        <w:t>po</w:t>
      </w:r>
      <w:r w:rsidR="002672D0">
        <w:rPr>
          <w:b w:val="0"/>
        </w:rPr>
        <w:t>u</w:t>
      </w:r>
      <w:r w:rsidR="007A4B39">
        <w:rPr>
          <w:b w:val="0"/>
        </w:rPr>
        <w:t>ze u výroby elektrických zařízení (1,4 tis., 1,5 %).</w:t>
      </w:r>
      <w:r w:rsidR="00C71852" w:rsidRPr="00C71852">
        <w:rPr>
          <w:b w:val="0"/>
        </w:rPr>
        <w:t xml:space="preserve"> </w:t>
      </w:r>
      <w:r w:rsidR="007A4B39">
        <w:rPr>
          <w:b w:val="0"/>
        </w:rPr>
        <w:t>U </w:t>
      </w:r>
      <w:r w:rsidR="00C71852" w:rsidRPr="00C71852">
        <w:rPr>
          <w:b w:val="0"/>
        </w:rPr>
        <w:t>výroby motorových vozidel (kromě motocyklů), přívěsů a návěsů došlo ke značnému poklesu (-3,5 tis.; -2,1 %</w:t>
      </w:r>
      <w:r w:rsidR="007A4B39">
        <w:rPr>
          <w:b w:val="0"/>
        </w:rPr>
        <w:t>),</w:t>
      </w:r>
      <w:r w:rsidR="00C71852">
        <w:rPr>
          <w:b w:val="0"/>
        </w:rPr>
        <w:t xml:space="preserve"> </w:t>
      </w:r>
      <w:r w:rsidR="007A4B39">
        <w:rPr>
          <w:b w:val="0"/>
        </w:rPr>
        <w:t>p</w:t>
      </w:r>
      <w:r w:rsidR="00C71852">
        <w:rPr>
          <w:b w:val="0"/>
        </w:rPr>
        <w:t>řesto zůstává největším oddílem českého zpracovate</w:t>
      </w:r>
      <w:r w:rsidR="00C71852" w:rsidRPr="00C71852">
        <w:rPr>
          <w:b w:val="0"/>
        </w:rPr>
        <w:t>lského průmyslu s 166,6 tis. pracovních míst.</w:t>
      </w:r>
    </w:p>
    <w:p w14:paraId="76084B20" w14:textId="77777777" w:rsidR="00C71852" w:rsidRDefault="00C71852" w:rsidP="00C71852">
      <w:r w:rsidRPr="00C71852">
        <w:t>Druhé nejvyšší snížení počtu zaměstnanců bylo ve veřejné správě, kde meziročně ubylo 3,2 tis. pracovních míst, což je pokles o 1,1 %.</w:t>
      </w:r>
    </w:p>
    <w:p w14:paraId="3736FCAB" w14:textId="77777777" w:rsidR="00A73137" w:rsidRPr="00E10E55" w:rsidRDefault="00C71852" w:rsidP="00C71852">
      <w:pPr>
        <w:rPr>
          <w:b/>
        </w:rPr>
      </w:pPr>
      <w:r>
        <w:t xml:space="preserve">S odstupem pak najdeme </w:t>
      </w:r>
      <w:r w:rsidR="002672D0">
        <w:t xml:space="preserve">početní </w:t>
      </w:r>
      <w:r>
        <w:t>p</w:t>
      </w:r>
      <w:r w:rsidRPr="00C71852">
        <w:t>okles v zemědělství, lesnictví a rybářství (1,9 tis.; 2,0 %).</w:t>
      </w:r>
      <w:r w:rsidR="00E10E55">
        <w:t xml:space="preserve"> V ostatních činnostech ubylo 1,6 </w:t>
      </w:r>
      <w:r w:rsidR="002672D0">
        <w:t>tis. míst, což je relativně o </w:t>
      </w:r>
      <w:r w:rsidR="00E10E55">
        <w:t>3,4 %.</w:t>
      </w:r>
      <w:r w:rsidRPr="00C71852">
        <w:t xml:space="preserve"> V</w:t>
      </w:r>
      <w:r w:rsidR="00A73137" w:rsidRPr="00C71852">
        <w:t> administrativních a</w:t>
      </w:r>
      <w:r w:rsidR="002672D0">
        <w:t> </w:t>
      </w:r>
      <w:r w:rsidR="00A73137" w:rsidRPr="00C71852">
        <w:t>podpůrných činnostech meziročně ubyl</w:t>
      </w:r>
      <w:r w:rsidRPr="00C71852">
        <w:t>a tisícovka zaměstnanců (</w:t>
      </w:r>
      <w:r w:rsidR="002672D0">
        <w:t>resp. </w:t>
      </w:r>
      <w:r w:rsidRPr="00C71852">
        <w:t>0,6 %) na hodnotu 172,7</w:t>
      </w:r>
      <w:r w:rsidR="00A73137" w:rsidRPr="00C71852">
        <w:t xml:space="preserve"> tis. Tam spadají také agenturní zaměstnanci, tato skupina nejvýrazněji reaguje na ekonomické výkyvy, </w:t>
      </w:r>
      <w:r w:rsidRPr="00C71852">
        <w:t>je tedy vhodným barometrem změn</w:t>
      </w:r>
      <w:r w:rsidR="00A73137" w:rsidRPr="00C71852">
        <w:t>.</w:t>
      </w:r>
      <w:r w:rsidRPr="00C71852">
        <w:t xml:space="preserve"> Předchozí poklesy </w:t>
      </w:r>
      <w:r>
        <w:t xml:space="preserve">tu </w:t>
      </w:r>
      <w:r w:rsidRPr="00C71852">
        <w:t>byly hlubší, takže se zdá, že se situace stabilizovala.</w:t>
      </w:r>
    </w:p>
    <w:p w14:paraId="5387F147" w14:textId="77777777" w:rsidR="001B4AA4" w:rsidRPr="0039199A" w:rsidRDefault="001B4AA4" w:rsidP="00A46E8F">
      <w:pPr>
        <w:pStyle w:val="Perex"/>
        <w:spacing w:after="0"/>
        <w:rPr>
          <w:b w:val="0"/>
          <w:color w:val="E36C0A" w:themeColor="accent6" w:themeShade="BF"/>
        </w:rPr>
      </w:pPr>
      <w:r w:rsidRPr="00E10E55">
        <w:rPr>
          <w:b w:val="0"/>
        </w:rPr>
        <w:t xml:space="preserve">Ostatních </w:t>
      </w:r>
      <w:r w:rsidR="00E10E55" w:rsidRPr="00E10E55">
        <w:rPr>
          <w:b w:val="0"/>
        </w:rPr>
        <w:t xml:space="preserve">přírůstky či </w:t>
      </w:r>
      <w:r w:rsidRPr="00E10E55">
        <w:rPr>
          <w:b w:val="0"/>
        </w:rPr>
        <w:t xml:space="preserve">poklesy byly </w:t>
      </w:r>
      <w:r w:rsidR="00E10E55" w:rsidRPr="00E10E55">
        <w:rPr>
          <w:b w:val="0"/>
        </w:rPr>
        <w:t>marginální. Malou výjimkou z dlouhodobého trendu jsou hodnoty u </w:t>
      </w:r>
      <w:r w:rsidR="002672D0">
        <w:rPr>
          <w:b w:val="0"/>
        </w:rPr>
        <w:t xml:space="preserve">sekce </w:t>
      </w:r>
      <w:r w:rsidR="00A46E8F" w:rsidRPr="00E10E55">
        <w:rPr>
          <w:b w:val="0"/>
        </w:rPr>
        <w:t>těžb</w:t>
      </w:r>
      <w:r w:rsidRPr="00E10E55">
        <w:rPr>
          <w:b w:val="0"/>
        </w:rPr>
        <w:t>y</w:t>
      </w:r>
      <w:r w:rsidR="00A46E8F" w:rsidRPr="00E10E55">
        <w:rPr>
          <w:b w:val="0"/>
        </w:rPr>
        <w:t xml:space="preserve"> a dobývání</w:t>
      </w:r>
      <w:r w:rsidR="00E10E55" w:rsidRPr="00E10E55">
        <w:rPr>
          <w:b w:val="0"/>
        </w:rPr>
        <w:t xml:space="preserve">, kde byl jednoprocentní nárůst </w:t>
      </w:r>
      <w:r w:rsidR="00A46E8F" w:rsidRPr="00E10E55">
        <w:rPr>
          <w:b w:val="0"/>
        </w:rPr>
        <w:t>(o </w:t>
      </w:r>
      <w:r w:rsidR="00E10E55" w:rsidRPr="00E10E55">
        <w:rPr>
          <w:b w:val="0"/>
        </w:rPr>
        <w:t>0,2 tis.), přitom však toto odvětví zůstává nejméně významné s celkový počtem pouhých 18,2 tis. pracovních míst</w:t>
      </w:r>
      <w:r w:rsidR="00A46E8F" w:rsidRPr="00E10E55">
        <w:rPr>
          <w:b w:val="0"/>
        </w:rPr>
        <w:t>.</w:t>
      </w:r>
      <w:r w:rsidRPr="0039199A">
        <w:rPr>
          <w:b w:val="0"/>
          <w:color w:val="E36C0A" w:themeColor="accent6" w:themeShade="BF"/>
        </w:rPr>
        <w:t xml:space="preserve"> </w:t>
      </w:r>
    </w:p>
    <w:p w14:paraId="214023BC" w14:textId="77777777" w:rsidR="00A46E8F" w:rsidRPr="0039199A" w:rsidRDefault="00A46E8F" w:rsidP="00A46E8F">
      <w:pPr>
        <w:rPr>
          <w:color w:val="E36C0A" w:themeColor="accent6" w:themeShade="BF"/>
        </w:rPr>
      </w:pPr>
    </w:p>
    <w:p w14:paraId="34A7AF33" w14:textId="77777777" w:rsidR="00A46E8F" w:rsidRPr="0039199A" w:rsidRDefault="00A46E8F" w:rsidP="00A46E8F">
      <w:pPr>
        <w:pStyle w:val="Nadpis1"/>
      </w:pPr>
      <w:r w:rsidRPr="0039199A">
        <w:t>Průměrné měsíční hrubé mzdy</w:t>
      </w:r>
    </w:p>
    <w:p w14:paraId="1FF91172" w14:textId="77777777" w:rsidR="00A46E8F" w:rsidRPr="000728BE" w:rsidRDefault="006139A7" w:rsidP="00A46E8F">
      <w:pPr>
        <w:rPr>
          <w:szCs w:val="20"/>
        </w:rPr>
      </w:pPr>
      <w:r w:rsidRPr="000728BE">
        <w:rPr>
          <w:noProof/>
          <w:szCs w:val="20"/>
          <w:lang w:eastAsia="cs-CZ"/>
        </w:rPr>
        <w:t>Průměrná mzda (4</w:t>
      </w:r>
      <w:r w:rsidR="000728BE" w:rsidRPr="000728BE">
        <w:rPr>
          <w:noProof/>
          <w:szCs w:val="20"/>
          <w:lang w:eastAsia="cs-CZ"/>
        </w:rPr>
        <w:t>3</w:t>
      </w:r>
      <w:r w:rsidR="00A46E8F" w:rsidRPr="000728BE">
        <w:rPr>
          <w:noProof/>
          <w:szCs w:val="20"/>
          <w:lang w:eastAsia="cs-CZ"/>
        </w:rPr>
        <w:t> </w:t>
      </w:r>
      <w:r w:rsidR="000728BE" w:rsidRPr="000728BE">
        <w:rPr>
          <w:noProof/>
          <w:szCs w:val="20"/>
          <w:lang w:eastAsia="cs-CZ"/>
        </w:rPr>
        <w:t>412</w:t>
      </w:r>
      <w:r w:rsidR="00A46E8F" w:rsidRPr="000728BE">
        <w:rPr>
          <w:noProof/>
          <w:szCs w:val="20"/>
          <w:lang w:eastAsia="cs-CZ"/>
        </w:rPr>
        <w:t xml:space="preserve"> Kč) </w:t>
      </w:r>
      <w:r w:rsidR="000C6FCF" w:rsidRPr="000728BE">
        <w:rPr>
          <w:noProof/>
          <w:szCs w:val="20"/>
          <w:lang w:eastAsia="cs-CZ"/>
        </w:rPr>
        <w:t xml:space="preserve">za </w:t>
      </w:r>
      <w:r w:rsidR="0039199A" w:rsidRPr="000728BE">
        <w:rPr>
          <w:noProof/>
          <w:szCs w:val="20"/>
          <w:lang w:eastAsia="cs-CZ"/>
        </w:rPr>
        <w:t>4</w:t>
      </w:r>
      <w:r w:rsidR="00A46E8F" w:rsidRPr="000728BE">
        <w:rPr>
          <w:noProof/>
          <w:szCs w:val="20"/>
          <w:lang w:eastAsia="cs-CZ"/>
        </w:rPr>
        <w:t>. čtvrtletí 202</w:t>
      </w:r>
      <w:r w:rsidR="000C6FCF" w:rsidRPr="000728BE">
        <w:rPr>
          <w:noProof/>
          <w:szCs w:val="20"/>
          <w:lang w:eastAsia="cs-CZ"/>
        </w:rPr>
        <w:t>2</w:t>
      </w:r>
      <w:r w:rsidR="00A46E8F" w:rsidRPr="000728BE">
        <w:rPr>
          <w:noProof/>
          <w:szCs w:val="20"/>
          <w:lang w:eastAsia="cs-CZ"/>
        </w:rPr>
        <w:t xml:space="preserve"> vzrostla nominálně ke stejnému období předchozího roku o </w:t>
      </w:r>
      <w:r w:rsidR="000728BE" w:rsidRPr="000728BE">
        <w:rPr>
          <w:noProof/>
          <w:szCs w:val="20"/>
          <w:lang w:eastAsia="cs-CZ"/>
        </w:rPr>
        <w:t>3</w:t>
      </w:r>
      <w:r w:rsidR="00732C3F" w:rsidRPr="000728BE">
        <w:rPr>
          <w:noProof/>
          <w:szCs w:val="20"/>
          <w:lang w:eastAsia="cs-CZ"/>
        </w:rPr>
        <w:t> </w:t>
      </w:r>
      <w:r w:rsidR="000728BE" w:rsidRPr="000728BE">
        <w:rPr>
          <w:noProof/>
          <w:szCs w:val="20"/>
          <w:lang w:eastAsia="cs-CZ"/>
        </w:rPr>
        <w:t>188</w:t>
      </w:r>
      <w:r w:rsidR="00A46E8F" w:rsidRPr="000728BE">
        <w:rPr>
          <w:noProof/>
          <w:szCs w:val="20"/>
          <w:lang w:eastAsia="cs-CZ"/>
        </w:rPr>
        <w:t> Kč, tedy o </w:t>
      </w:r>
      <w:r w:rsidR="000728BE" w:rsidRPr="000728BE">
        <w:rPr>
          <w:noProof/>
          <w:szCs w:val="20"/>
          <w:lang w:eastAsia="cs-CZ"/>
        </w:rPr>
        <w:t>7</w:t>
      </w:r>
      <w:r w:rsidRPr="000728BE">
        <w:rPr>
          <w:noProof/>
          <w:szCs w:val="20"/>
          <w:lang w:eastAsia="cs-CZ"/>
        </w:rPr>
        <w:t>,</w:t>
      </w:r>
      <w:r w:rsidR="000728BE" w:rsidRPr="000728BE">
        <w:rPr>
          <w:noProof/>
          <w:szCs w:val="20"/>
          <w:lang w:eastAsia="cs-CZ"/>
        </w:rPr>
        <w:t>9</w:t>
      </w:r>
      <w:r w:rsidR="00A46E8F" w:rsidRPr="000728BE">
        <w:rPr>
          <w:noProof/>
          <w:szCs w:val="20"/>
          <w:lang w:eastAsia="cs-CZ"/>
        </w:rPr>
        <w:t> %,</w:t>
      </w:r>
      <w:r w:rsidR="00A46E8F" w:rsidRPr="000728BE">
        <w:rPr>
          <w:szCs w:val="20"/>
        </w:rPr>
        <w:t xml:space="preserve"> přičemž jde o zprůměrování velmi různorodého vývoje na úrovni jednotlivých oborů, podniků či organizací.</w:t>
      </w:r>
      <w:r w:rsidR="000728BE">
        <w:rPr>
          <w:szCs w:val="20"/>
        </w:rPr>
        <w:t xml:space="preserve"> Te</w:t>
      </w:r>
      <w:r w:rsidR="00913213">
        <w:rPr>
          <w:szCs w:val="20"/>
        </w:rPr>
        <w:t xml:space="preserve">mpo </w:t>
      </w:r>
      <w:r w:rsidR="001D10A9">
        <w:rPr>
          <w:szCs w:val="20"/>
        </w:rPr>
        <w:t xml:space="preserve">mezičtvrtletního </w:t>
      </w:r>
      <w:r w:rsidR="00913213">
        <w:rPr>
          <w:szCs w:val="20"/>
        </w:rPr>
        <w:t>růstu</w:t>
      </w:r>
      <w:r w:rsidR="001D10A9">
        <w:rPr>
          <w:szCs w:val="20"/>
        </w:rPr>
        <w:t xml:space="preserve"> (po sezónním očištění)</w:t>
      </w:r>
      <w:r w:rsidR="00913213">
        <w:rPr>
          <w:szCs w:val="20"/>
        </w:rPr>
        <w:t xml:space="preserve"> se v průběhu roku 2022 zvyšovalo.</w:t>
      </w:r>
      <w:r w:rsidR="000728BE">
        <w:rPr>
          <w:szCs w:val="20"/>
        </w:rPr>
        <w:t xml:space="preserve"> </w:t>
      </w:r>
      <w:r w:rsidR="00913213">
        <w:rPr>
          <w:szCs w:val="20"/>
        </w:rPr>
        <w:t xml:space="preserve">Meziroční </w:t>
      </w:r>
      <w:r w:rsidR="000728BE">
        <w:rPr>
          <w:szCs w:val="20"/>
        </w:rPr>
        <w:t xml:space="preserve">nominální nárůst </w:t>
      </w:r>
      <w:r w:rsidR="00913213">
        <w:rPr>
          <w:szCs w:val="20"/>
        </w:rPr>
        <w:t xml:space="preserve">ve 4. čtvrtletí 2022 pak </w:t>
      </w:r>
      <w:r w:rsidR="000728BE">
        <w:rPr>
          <w:szCs w:val="20"/>
        </w:rPr>
        <w:t>byl nejvyšší od 2. čtvrtletí 2021.</w:t>
      </w:r>
    </w:p>
    <w:p w14:paraId="311EF4B1" w14:textId="77777777" w:rsidR="000728BE" w:rsidRPr="002672D0" w:rsidRDefault="00742313" w:rsidP="00A46E8F">
      <w:pPr>
        <w:rPr>
          <w:noProof/>
          <w:lang w:eastAsia="cs-CZ"/>
        </w:rPr>
      </w:pPr>
      <w:r w:rsidRPr="000728BE">
        <w:rPr>
          <w:noProof/>
          <w:lang w:eastAsia="cs-CZ"/>
        </w:rPr>
        <w:lastRenderedPageBreak/>
        <w:t xml:space="preserve">V reálném vyjádření je </w:t>
      </w:r>
      <w:r w:rsidR="000728BE" w:rsidRPr="000728BE">
        <w:rPr>
          <w:noProof/>
          <w:lang w:eastAsia="cs-CZ"/>
        </w:rPr>
        <w:t>o</w:t>
      </w:r>
      <w:r w:rsidRPr="000728BE">
        <w:rPr>
          <w:noProof/>
          <w:lang w:eastAsia="cs-CZ"/>
        </w:rPr>
        <w:t>v</w:t>
      </w:r>
      <w:r w:rsidR="000728BE" w:rsidRPr="000728BE">
        <w:rPr>
          <w:noProof/>
          <w:lang w:eastAsia="cs-CZ"/>
        </w:rPr>
        <w:t>š</w:t>
      </w:r>
      <w:r w:rsidRPr="000728BE">
        <w:rPr>
          <w:noProof/>
          <w:lang w:eastAsia="cs-CZ"/>
        </w:rPr>
        <w:t>e</w:t>
      </w:r>
      <w:r w:rsidR="000728BE" w:rsidRPr="000728BE">
        <w:rPr>
          <w:noProof/>
          <w:lang w:eastAsia="cs-CZ"/>
        </w:rPr>
        <w:t>m</w:t>
      </w:r>
      <w:r w:rsidRPr="000728BE">
        <w:rPr>
          <w:noProof/>
          <w:lang w:eastAsia="cs-CZ"/>
        </w:rPr>
        <w:t xml:space="preserve"> nutné </w:t>
      </w:r>
      <w:r w:rsidR="00913213">
        <w:rPr>
          <w:noProof/>
          <w:lang w:eastAsia="cs-CZ"/>
        </w:rPr>
        <w:t xml:space="preserve">stále </w:t>
      </w:r>
      <w:r w:rsidRPr="000728BE">
        <w:rPr>
          <w:noProof/>
          <w:lang w:eastAsia="cs-CZ"/>
        </w:rPr>
        <w:t>mluvit o poklesu</w:t>
      </w:r>
      <w:r w:rsidR="00A46E8F" w:rsidRPr="000728BE">
        <w:rPr>
          <w:noProof/>
          <w:lang w:eastAsia="cs-CZ"/>
        </w:rPr>
        <w:t xml:space="preserve"> m</w:t>
      </w:r>
      <w:r w:rsidRPr="000728BE">
        <w:rPr>
          <w:noProof/>
          <w:lang w:eastAsia="cs-CZ"/>
        </w:rPr>
        <w:t>ezd.</w:t>
      </w:r>
      <w:r w:rsidR="00A46E8F" w:rsidRPr="000728BE">
        <w:rPr>
          <w:noProof/>
          <w:lang w:eastAsia="cs-CZ"/>
        </w:rPr>
        <w:t xml:space="preserve"> </w:t>
      </w:r>
      <w:r w:rsidRPr="000728BE">
        <w:rPr>
          <w:noProof/>
          <w:lang w:eastAsia="cs-CZ"/>
        </w:rPr>
        <w:t>P</w:t>
      </w:r>
      <w:r w:rsidR="00A46E8F" w:rsidRPr="000728BE">
        <w:rPr>
          <w:noProof/>
          <w:lang w:eastAsia="cs-CZ"/>
        </w:rPr>
        <w:t xml:space="preserve">růměrná mzda </w:t>
      </w:r>
      <w:r w:rsidRPr="000728BE">
        <w:rPr>
          <w:noProof/>
          <w:lang w:eastAsia="cs-CZ"/>
        </w:rPr>
        <w:t>po očištění od vlivu</w:t>
      </w:r>
      <w:r w:rsidR="00A46E8F" w:rsidRPr="000728BE">
        <w:rPr>
          <w:noProof/>
          <w:lang w:eastAsia="cs-CZ"/>
        </w:rPr>
        <w:t xml:space="preserve"> </w:t>
      </w:r>
      <w:r w:rsidRPr="000728BE">
        <w:rPr>
          <w:noProof/>
          <w:lang w:eastAsia="cs-CZ"/>
        </w:rPr>
        <w:t xml:space="preserve">inflace </w:t>
      </w:r>
      <w:r w:rsidR="000C6FCF" w:rsidRPr="000728BE">
        <w:rPr>
          <w:noProof/>
          <w:lang w:eastAsia="cs-CZ"/>
        </w:rPr>
        <w:t xml:space="preserve">totiž </w:t>
      </w:r>
      <w:r w:rsidRPr="000728BE">
        <w:rPr>
          <w:noProof/>
          <w:lang w:eastAsia="cs-CZ"/>
        </w:rPr>
        <w:t>poklesla</w:t>
      </w:r>
      <w:r w:rsidR="00A46E8F" w:rsidRPr="000728BE">
        <w:rPr>
          <w:noProof/>
          <w:lang w:eastAsia="cs-CZ"/>
        </w:rPr>
        <w:t xml:space="preserve"> o </w:t>
      </w:r>
      <w:r w:rsidR="000728BE" w:rsidRPr="000728BE">
        <w:rPr>
          <w:noProof/>
          <w:lang w:eastAsia="cs-CZ"/>
        </w:rPr>
        <w:t>6</w:t>
      </w:r>
      <w:r w:rsidR="000C6FCF" w:rsidRPr="000728BE">
        <w:rPr>
          <w:noProof/>
          <w:lang w:eastAsia="cs-CZ"/>
        </w:rPr>
        <w:t>,</w:t>
      </w:r>
      <w:r w:rsidR="000728BE" w:rsidRPr="000728BE">
        <w:rPr>
          <w:noProof/>
          <w:lang w:eastAsia="cs-CZ"/>
        </w:rPr>
        <w:t>7</w:t>
      </w:r>
      <w:r w:rsidR="00A46E8F" w:rsidRPr="000728BE">
        <w:rPr>
          <w:noProof/>
          <w:lang w:eastAsia="cs-CZ"/>
        </w:rPr>
        <w:t> %</w:t>
      </w:r>
      <w:r w:rsidR="007A4B39">
        <w:rPr>
          <w:noProof/>
          <w:lang w:eastAsia="cs-CZ"/>
        </w:rPr>
        <w:t xml:space="preserve">, což byl již </w:t>
      </w:r>
      <w:r w:rsidR="000728BE">
        <w:rPr>
          <w:noProof/>
          <w:lang w:eastAsia="cs-CZ"/>
        </w:rPr>
        <w:t>pát</w:t>
      </w:r>
      <w:r w:rsidR="007A4B39">
        <w:rPr>
          <w:noProof/>
          <w:lang w:eastAsia="cs-CZ"/>
        </w:rPr>
        <w:t>ý</w:t>
      </w:r>
      <w:r w:rsidR="000728BE" w:rsidRPr="000728BE">
        <w:rPr>
          <w:noProof/>
          <w:lang w:eastAsia="cs-CZ"/>
        </w:rPr>
        <w:t xml:space="preserve"> </w:t>
      </w:r>
      <w:r w:rsidR="007A4B39">
        <w:rPr>
          <w:noProof/>
          <w:lang w:eastAsia="cs-CZ"/>
        </w:rPr>
        <w:t xml:space="preserve">pokles </w:t>
      </w:r>
      <w:r w:rsidR="000728BE" w:rsidRPr="000728BE">
        <w:rPr>
          <w:noProof/>
          <w:lang w:eastAsia="cs-CZ"/>
        </w:rPr>
        <w:t>v řadě</w:t>
      </w:r>
      <w:r w:rsidR="00A46E8F" w:rsidRPr="000728BE">
        <w:rPr>
          <w:noProof/>
          <w:lang w:eastAsia="cs-CZ"/>
        </w:rPr>
        <w:t>.</w:t>
      </w:r>
      <w:r w:rsidR="000C6FCF" w:rsidRPr="000728BE">
        <w:rPr>
          <w:noProof/>
          <w:lang w:eastAsia="cs-CZ"/>
        </w:rPr>
        <w:t xml:space="preserve"> </w:t>
      </w:r>
      <w:r w:rsidR="00A46E8F" w:rsidRPr="000728BE">
        <w:rPr>
          <w:noProof/>
          <w:lang w:eastAsia="cs-CZ"/>
        </w:rPr>
        <w:t xml:space="preserve">Reálný mzdový růst se odvíjí </w:t>
      </w:r>
      <w:r w:rsidR="000C6FCF" w:rsidRPr="000728BE">
        <w:rPr>
          <w:noProof/>
          <w:lang w:eastAsia="cs-CZ"/>
        </w:rPr>
        <w:t xml:space="preserve">od </w:t>
      </w:r>
      <w:r w:rsidR="00A46E8F" w:rsidRPr="000728BE">
        <w:rPr>
          <w:noProof/>
          <w:lang w:eastAsia="cs-CZ"/>
        </w:rPr>
        <w:t>růstu spotřebitelských cen</w:t>
      </w:r>
      <w:r w:rsidRPr="000728BE">
        <w:rPr>
          <w:noProof/>
          <w:lang w:eastAsia="cs-CZ"/>
        </w:rPr>
        <w:t>,</w:t>
      </w:r>
      <w:r w:rsidR="00A46E8F" w:rsidRPr="000728BE">
        <w:rPr>
          <w:noProof/>
          <w:lang w:eastAsia="cs-CZ"/>
        </w:rPr>
        <w:t xml:space="preserve"> </w:t>
      </w:r>
      <w:r w:rsidRPr="000728BE">
        <w:rPr>
          <w:noProof/>
          <w:lang w:eastAsia="cs-CZ"/>
        </w:rPr>
        <w:t>t</w:t>
      </w:r>
      <w:r w:rsidR="00A46E8F" w:rsidRPr="000728BE">
        <w:rPr>
          <w:noProof/>
          <w:lang w:eastAsia="cs-CZ"/>
        </w:rPr>
        <w:t xml:space="preserve">en </w:t>
      </w:r>
      <w:r w:rsidR="007A4B39">
        <w:rPr>
          <w:noProof/>
          <w:lang w:eastAsia="cs-CZ"/>
        </w:rPr>
        <w:t xml:space="preserve">ve 4. čtvrtletí 2022 </w:t>
      </w:r>
      <w:r w:rsidR="000728BE" w:rsidRPr="000728BE">
        <w:rPr>
          <w:noProof/>
          <w:lang w:eastAsia="cs-CZ"/>
        </w:rPr>
        <w:t>dosáhl meziroční hodnoty</w:t>
      </w:r>
      <w:r w:rsidR="00A46E8F" w:rsidRPr="000728BE">
        <w:rPr>
          <w:noProof/>
          <w:lang w:eastAsia="cs-CZ"/>
        </w:rPr>
        <w:t xml:space="preserve"> </w:t>
      </w:r>
      <w:r w:rsidR="000C6FCF" w:rsidRPr="000728BE">
        <w:rPr>
          <w:noProof/>
          <w:lang w:eastAsia="cs-CZ"/>
        </w:rPr>
        <w:t>15</w:t>
      </w:r>
      <w:r w:rsidR="000728BE" w:rsidRPr="000728BE">
        <w:rPr>
          <w:noProof/>
          <w:lang w:eastAsia="cs-CZ"/>
        </w:rPr>
        <w:t>,7</w:t>
      </w:r>
      <w:r w:rsidR="00A46E8F" w:rsidRPr="000728BE">
        <w:rPr>
          <w:noProof/>
          <w:lang w:eastAsia="cs-CZ"/>
        </w:rPr>
        <w:t> </w:t>
      </w:r>
      <w:r w:rsidR="00253201" w:rsidRPr="000728BE">
        <w:rPr>
          <w:noProof/>
          <w:lang w:eastAsia="cs-CZ"/>
        </w:rPr>
        <w:t>%.</w:t>
      </w:r>
      <w:r w:rsidR="000728BE">
        <w:rPr>
          <w:noProof/>
          <w:lang w:eastAsia="cs-CZ"/>
        </w:rPr>
        <w:t xml:space="preserve"> </w:t>
      </w:r>
      <w:r w:rsidR="00A46E8F" w:rsidRPr="000728BE">
        <w:rPr>
          <w:noProof/>
          <w:lang w:eastAsia="cs-CZ"/>
        </w:rPr>
        <w:t xml:space="preserve">Pro úplnost </w:t>
      </w:r>
      <w:r w:rsidR="0045076F" w:rsidRPr="000728BE">
        <w:rPr>
          <w:noProof/>
          <w:lang w:eastAsia="cs-CZ"/>
        </w:rPr>
        <w:t>uveďm</w:t>
      </w:r>
      <w:r w:rsidR="00A46E8F" w:rsidRPr="000728BE">
        <w:rPr>
          <w:noProof/>
          <w:lang w:eastAsia="cs-CZ"/>
        </w:rPr>
        <w:t>e, že</w:t>
      </w:r>
      <w:r w:rsidR="00253201" w:rsidRPr="000728BE">
        <w:rPr>
          <w:noProof/>
          <w:lang w:eastAsia="cs-CZ"/>
        </w:rPr>
        <w:t xml:space="preserve"> </w:t>
      </w:r>
      <w:r w:rsidR="00A46E8F" w:rsidRPr="000728BE">
        <w:rPr>
          <w:noProof/>
          <w:lang w:eastAsia="cs-CZ"/>
        </w:rPr>
        <w:t>v 1. čtvrtletí 202</w:t>
      </w:r>
      <w:r w:rsidR="000C6FCF" w:rsidRPr="000728BE">
        <w:rPr>
          <w:noProof/>
          <w:lang w:eastAsia="cs-CZ"/>
        </w:rPr>
        <w:t>2 průměrná mzda reálně p</w:t>
      </w:r>
      <w:r w:rsidR="00A46E8F" w:rsidRPr="000728BE">
        <w:rPr>
          <w:noProof/>
          <w:lang w:eastAsia="cs-CZ"/>
        </w:rPr>
        <w:t>o</w:t>
      </w:r>
      <w:r w:rsidR="000C6FCF" w:rsidRPr="000728BE">
        <w:rPr>
          <w:noProof/>
          <w:lang w:eastAsia="cs-CZ"/>
        </w:rPr>
        <w:t>kle</w:t>
      </w:r>
      <w:r w:rsidR="00565E31" w:rsidRPr="000728BE">
        <w:rPr>
          <w:noProof/>
          <w:lang w:eastAsia="cs-CZ"/>
        </w:rPr>
        <w:t>sla o </w:t>
      </w:r>
      <w:r w:rsidR="000C6FCF" w:rsidRPr="000728BE">
        <w:rPr>
          <w:noProof/>
          <w:lang w:eastAsia="cs-CZ"/>
        </w:rPr>
        <w:t>3,5 %</w:t>
      </w:r>
      <w:r w:rsidR="00253201" w:rsidRPr="000728BE">
        <w:rPr>
          <w:noProof/>
          <w:lang w:eastAsia="cs-CZ"/>
        </w:rPr>
        <w:t xml:space="preserve">, </w:t>
      </w:r>
      <w:r w:rsidR="000728BE" w:rsidRPr="000728BE">
        <w:rPr>
          <w:noProof/>
          <w:lang w:eastAsia="cs-CZ"/>
        </w:rPr>
        <w:t>ve druhém o 9,8 % a ve třetím o 9,7 %.</w:t>
      </w:r>
      <w:r w:rsidR="000728BE">
        <w:rPr>
          <w:noProof/>
          <w:lang w:eastAsia="cs-CZ"/>
        </w:rPr>
        <w:t xml:space="preserve"> Meziroční nárůst cen byl nejvyšší právě ve 3. čtvrtletí </w:t>
      </w:r>
      <w:r w:rsidR="00594733">
        <w:rPr>
          <w:noProof/>
          <w:lang w:eastAsia="cs-CZ"/>
        </w:rPr>
        <w:t xml:space="preserve">2022 </w:t>
      </w:r>
      <w:r w:rsidR="000728BE">
        <w:rPr>
          <w:noProof/>
          <w:lang w:eastAsia="cs-CZ"/>
        </w:rPr>
        <w:t>(17,6 %).</w:t>
      </w:r>
    </w:p>
    <w:p w14:paraId="0B9DFF93" w14:textId="77777777" w:rsidR="00745E06" w:rsidRDefault="00A46E8F" w:rsidP="00A46E8F">
      <w:r w:rsidRPr="002672D0">
        <w:t>Mzdový vývoj byl značně diferencovaný podle odvětví</w:t>
      </w:r>
      <w:r w:rsidR="00745E06">
        <w:t>, i ve srovnání s minulým čtvrtletím</w:t>
      </w:r>
      <w:r w:rsidRPr="002672D0">
        <w:t xml:space="preserve">. </w:t>
      </w:r>
      <w:r w:rsidR="00745E06">
        <w:t>V</w:t>
      </w:r>
      <w:r w:rsidR="002672D0" w:rsidRPr="002672D0">
        <w:t> jedn</w:t>
      </w:r>
      <w:r w:rsidR="00745E06">
        <w:t>é</w:t>
      </w:r>
      <w:r w:rsidR="002672D0" w:rsidRPr="002672D0">
        <w:t xml:space="preserve"> </w:t>
      </w:r>
      <w:r w:rsidR="00565E31" w:rsidRPr="002672D0">
        <w:t>odvětv</w:t>
      </w:r>
      <w:r w:rsidR="00745E06">
        <w:t>ové sekci</w:t>
      </w:r>
      <w:r w:rsidR="00565E31" w:rsidRPr="002672D0">
        <w:t xml:space="preserve"> </w:t>
      </w:r>
      <w:r w:rsidR="002672D0" w:rsidRPr="002672D0">
        <w:t xml:space="preserve">došlo </w:t>
      </w:r>
      <w:r w:rsidR="00230567">
        <w:t xml:space="preserve">dokonce </w:t>
      </w:r>
      <w:r w:rsidR="002672D0" w:rsidRPr="002672D0">
        <w:t>k nominálnímu poklesu</w:t>
      </w:r>
      <w:r w:rsidR="00745E06">
        <w:t xml:space="preserve"> – tou</w:t>
      </w:r>
      <w:r w:rsidR="002672D0" w:rsidRPr="002672D0">
        <w:t xml:space="preserve"> </w:t>
      </w:r>
      <w:r w:rsidR="00B56F38" w:rsidRPr="002672D0">
        <w:t xml:space="preserve">bylo vzdělávání, kde se mzdy </w:t>
      </w:r>
      <w:r w:rsidR="002672D0" w:rsidRPr="002672D0">
        <w:t>sníž</w:t>
      </w:r>
      <w:r w:rsidR="00B56F38" w:rsidRPr="002672D0">
        <w:t>ily o </w:t>
      </w:r>
      <w:r w:rsidR="002672D0" w:rsidRPr="002672D0">
        <w:t>0,3</w:t>
      </w:r>
      <w:r w:rsidR="00B56F38" w:rsidRPr="002672D0">
        <w:t> %, resp. o 1</w:t>
      </w:r>
      <w:r w:rsidR="002672D0" w:rsidRPr="002672D0">
        <w:t>47</w:t>
      </w:r>
      <w:r w:rsidR="00B56F38" w:rsidRPr="002672D0">
        <w:t xml:space="preserve"> Kč</w:t>
      </w:r>
      <w:r w:rsidR="002672D0">
        <w:t>, na hodnotu 49 021 Kč</w:t>
      </w:r>
      <w:r w:rsidR="00B56F38" w:rsidRPr="002672D0">
        <w:t>.</w:t>
      </w:r>
      <w:r w:rsidR="00745E06">
        <w:t xml:space="preserve"> V ostatních odvětvích do</w:t>
      </w:r>
      <w:r w:rsidR="001D10A9">
        <w:t>šlo k růstu v rozpětí od </w:t>
      </w:r>
      <w:r w:rsidR="00745E06">
        <w:t>4,5 % až do 14,6 %.</w:t>
      </w:r>
    </w:p>
    <w:p w14:paraId="476252A4" w14:textId="77777777" w:rsidR="00D50D14" w:rsidRPr="00D50D14" w:rsidRDefault="00745E06" w:rsidP="00A46E8F">
      <w:r w:rsidRPr="00745E06">
        <w:t>Nejslabší nominální nárůst (po vzdělávání) najdeme u zdravotní a sociální péče, kde se průměrná mzda zvýšila o 4,5 % na 48 074 K</w:t>
      </w:r>
      <w:r>
        <w:t>č. Bez těchto dvou odvětví</w:t>
      </w:r>
      <w:r w:rsidR="00D50D14">
        <w:t xml:space="preserve"> s vysokou dominancí státu</w:t>
      </w:r>
      <w:r>
        <w:t xml:space="preserve">, které </w:t>
      </w:r>
      <w:r w:rsidR="00D50D14">
        <w:t xml:space="preserve">dohromady </w:t>
      </w:r>
      <w:r>
        <w:t xml:space="preserve">zaměstnávají </w:t>
      </w:r>
      <w:r w:rsidR="00D50D14">
        <w:t>16,5 % všech zaměstnanců a</w:t>
      </w:r>
      <w:r w:rsidR="001D10A9">
        <w:t xml:space="preserve"> působily jako brzda, by mzdy </w:t>
      </w:r>
      <w:r w:rsidR="00D50D14">
        <w:t xml:space="preserve">rostly zhruba devítiprocentním </w:t>
      </w:r>
      <w:r w:rsidR="001D10A9">
        <w:t xml:space="preserve">meziročním </w:t>
      </w:r>
      <w:r w:rsidR="00D50D14">
        <w:t>tempem. Sekce z</w:t>
      </w:r>
      <w:r w:rsidR="00D50D14" w:rsidRPr="00D50D14">
        <w:t>ásobování vodou</w:t>
      </w:r>
      <w:r w:rsidR="00230567">
        <w:t>,</w:t>
      </w:r>
      <w:r w:rsidR="00D50D14" w:rsidRPr="00D50D14">
        <w:t xml:space="preserve"> činnosti související s odpadními vodami, odpady a sanacemi měla nárůst nižší než osmiprocentní (7</w:t>
      </w:r>
      <w:r w:rsidR="00B56F38" w:rsidRPr="00D50D14">
        <w:t>,</w:t>
      </w:r>
      <w:r w:rsidR="00D50D14" w:rsidRPr="00D50D14">
        <w:t>4</w:t>
      </w:r>
      <w:r w:rsidR="00B56F38" w:rsidRPr="00D50D14">
        <w:t> %</w:t>
      </w:r>
      <w:r w:rsidR="00D50D14" w:rsidRPr="00D50D14">
        <w:t>), jinak ve všech zbývajících byl vyšší</w:t>
      </w:r>
      <w:r w:rsidR="00B56F38" w:rsidRPr="00D50D14">
        <w:t>.</w:t>
      </w:r>
    </w:p>
    <w:p w14:paraId="220925D0" w14:textId="77777777" w:rsidR="00D50D14" w:rsidRPr="00D50D14" w:rsidRDefault="00D50D14" w:rsidP="00A46E8F">
      <w:r w:rsidRPr="00D50D14">
        <w:t>Na druhé straně r</w:t>
      </w:r>
      <w:r w:rsidR="00B56F38" w:rsidRPr="00D50D14">
        <w:t xml:space="preserve">ůst mezd táhla </w:t>
      </w:r>
      <w:r w:rsidR="001D10A9">
        <w:t>nejvíce</w:t>
      </w:r>
      <w:r w:rsidR="00B56F38" w:rsidRPr="00D50D14">
        <w:t xml:space="preserve"> vzhůru </w:t>
      </w:r>
      <w:r w:rsidRPr="00D50D14">
        <w:t>výroba a rozvod elektřiny, plynu, tepla a klimatizovaného vzduchu (14,6 %</w:t>
      </w:r>
      <w:r>
        <w:t>; tj. o 8 282 Kč</w:t>
      </w:r>
      <w:r w:rsidRPr="00D50D14">
        <w:t>), kde se průměrná mzda dostala na úroveň 65 034 Kč.</w:t>
      </w:r>
      <w:r>
        <w:t xml:space="preserve"> </w:t>
      </w:r>
      <w:r w:rsidR="00230567">
        <w:t xml:space="preserve">Byla </w:t>
      </w:r>
      <w:r>
        <w:t>tak třetí nejvyšší ze sekcí CZ-NACE.</w:t>
      </w:r>
    </w:p>
    <w:p w14:paraId="53FC53EF" w14:textId="77777777" w:rsidR="00565E31" w:rsidRPr="00230567" w:rsidRDefault="00D50D14" w:rsidP="00A46E8F">
      <w:r w:rsidRPr="00D50D14">
        <w:t>Na prvním místě zůstaly</w:t>
      </w:r>
      <w:r w:rsidR="00B56F38" w:rsidRPr="00D50D14">
        <w:t> informační a komunikační činnost</w:t>
      </w:r>
      <w:r w:rsidRPr="00D50D14">
        <w:t>i, kde</w:t>
      </w:r>
      <w:r w:rsidR="00B56F38" w:rsidRPr="00D50D14">
        <w:t xml:space="preserve"> stoupla průměrná mzda o </w:t>
      </w:r>
      <w:r w:rsidRPr="00D50D14">
        <w:t>9,1 % na</w:t>
      </w:r>
      <w:r w:rsidR="00B56F38" w:rsidRPr="00D50D14">
        <w:t xml:space="preserve"> výsledných </w:t>
      </w:r>
      <w:r w:rsidRPr="00D50D14">
        <w:t>73 053</w:t>
      </w:r>
      <w:r w:rsidR="00B56F38" w:rsidRPr="00D50D14">
        <w:t> Kč.</w:t>
      </w:r>
      <w:r w:rsidRPr="00D50D14">
        <w:t xml:space="preserve"> Druhou n</w:t>
      </w:r>
      <w:r>
        <w:t xml:space="preserve">ejvyšší průměrnou mzdu </w:t>
      </w:r>
      <w:r w:rsidRPr="00D50D14">
        <w:t>najdeme v peněžnictví a pojišťovnictví, kde se průměrná mzda zvýšila o 10,</w:t>
      </w:r>
      <w:r w:rsidRPr="00230567">
        <w:t>3 % na 66 400 Kč.</w:t>
      </w:r>
    </w:p>
    <w:p w14:paraId="122CDA95" w14:textId="77777777" w:rsidR="00230567" w:rsidRPr="005520DA" w:rsidRDefault="00230567" w:rsidP="00A46E8F">
      <w:pPr>
        <w:rPr>
          <w:smallCaps/>
        </w:rPr>
      </w:pPr>
      <w:r w:rsidRPr="00230567">
        <w:t>P</w:t>
      </w:r>
      <w:r w:rsidR="006C1EE4" w:rsidRPr="00230567">
        <w:t xml:space="preserve">ropouštění </w:t>
      </w:r>
      <w:r w:rsidRPr="00230567">
        <w:t xml:space="preserve">nízko placených pracovníků </w:t>
      </w:r>
      <w:r w:rsidR="006C1EE4" w:rsidRPr="00230567">
        <w:t xml:space="preserve">patrně stojí </w:t>
      </w:r>
      <w:r w:rsidR="001B0DFD" w:rsidRPr="00230567">
        <w:t>z</w:t>
      </w:r>
      <w:r w:rsidR="006C1EE4" w:rsidRPr="00230567">
        <w:t>a zvýšením průměru o 1</w:t>
      </w:r>
      <w:r w:rsidRPr="00230567">
        <w:t>1,6</w:t>
      </w:r>
      <w:r w:rsidR="006C1EE4" w:rsidRPr="00230567">
        <w:t> % v</w:t>
      </w:r>
      <w:r w:rsidR="00DA260B">
        <w:t> </w:t>
      </w:r>
      <w:r w:rsidRPr="00230567">
        <w:t>o</w:t>
      </w:r>
      <w:r w:rsidR="00DA260B">
        <w:t>dvětví o</w:t>
      </w:r>
      <w:r w:rsidRPr="00230567">
        <w:t>statní činnost</w:t>
      </w:r>
      <w:r w:rsidR="00DA260B">
        <w:t>i</w:t>
      </w:r>
      <w:r w:rsidRPr="00230567">
        <w:t>.</w:t>
      </w:r>
      <w:r w:rsidR="00DA260B">
        <w:t xml:space="preserve"> V těžbě a </w:t>
      </w:r>
      <w:r>
        <w:t>dobývání vzr</w:t>
      </w:r>
      <w:r w:rsidR="00DA260B">
        <w:t>ostla průměrná mzda o 10,1 % na </w:t>
      </w:r>
      <w:r>
        <w:t xml:space="preserve">48 822 Kč. </w:t>
      </w:r>
      <w:r w:rsidRPr="00230567">
        <w:t xml:space="preserve"> V </w:t>
      </w:r>
      <w:r w:rsidR="006C1EE4" w:rsidRPr="00230567">
        <w:t>administrativní</w:t>
      </w:r>
      <w:r w:rsidR="00446AA2" w:rsidRPr="00230567">
        <w:t>ch a </w:t>
      </w:r>
      <w:r w:rsidR="006C1EE4" w:rsidRPr="00230567">
        <w:t>podpůrných činnost</w:t>
      </w:r>
      <w:r w:rsidR="00042987" w:rsidRPr="00230567">
        <w:t>ech</w:t>
      </w:r>
      <w:r w:rsidRPr="00230567">
        <w:t xml:space="preserve"> se zvýšily mzdy desetiprocentním tempem</w:t>
      </w:r>
      <w:r w:rsidR="006C1EE4" w:rsidRPr="00230567">
        <w:t xml:space="preserve">, mzdová úroveň </w:t>
      </w:r>
      <w:r w:rsidRPr="00230567">
        <w:t xml:space="preserve">tak </w:t>
      </w:r>
      <w:r w:rsidR="006C1EE4" w:rsidRPr="00230567">
        <w:t>dosáhla 2</w:t>
      </w:r>
      <w:r w:rsidRPr="00230567">
        <w:t>9</w:t>
      </w:r>
      <w:r w:rsidR="006C1EE4" w:rsidRPr="00230567">
        <w:t> </w:t>
      </w:r>
      <w:r w:rsidRPr="00230567">
        <w:t>779</w:t>
      </w:r>
      <w:r w:rsidR="006C1EE4" w:rsidRPr="00230567">
        <w:t> Kč</w:t>
      </w:r>
      <w:r>
        <w:t xml:space="preserve">, byla </w:t>
      </w:r>
      <w:r w:rsidR="006E1772">
        <w:t xml:space="preserve">tak </w:t>
      </w:r>
      <w:r>
        <w:t>druhá nej</w:t>
      </w:r>
      <w:r w:rsidR="006E1772">
        <w:t>niž</w:t>
      </w:r>
      <w:r>
        <w:t xml:space="preserve">ší. Vůbec nejnižší průměrnou mzdu </w:t>
      </w:r>
      <w:r w:rsidRPr="005520DA">
        <w:t>měli nadále zaměstnanci v ubytování, stravování a pohostinství (24 686 Kč), přičemž meziročně se zvýšila o 8,8 %</w:t>
      </w:r>
      <w:r w:rsidR="006C1EE4" w:rsidRPr="005520DA">
        <w:rPr>
          <w:smallCaps/>
        </w:rPr>
        <w:t>.</w:t>
      </w:r>
    </w:p>
    <w:p w14:paraId="5DCA490A" w14:textId="77777777" w:rsidR="00460D15" w:rsidRPr="005520DA" w:rsidRDefault="00460D15" w:rsidP="00A46E8F">
      <w:r w:rsidRPr="005520DA">
        <w:t xml:space="preserve">U zbylých sekcí se rozsah nominálního růstu </w:t>
      </w:r>
      <w:r w:rsidR="006C1EE4" w:rsidRPr="005520DA">
        <w:t xml:space="preserve">mezd </w:t>
      </w:r>
      <w:r w:rsidRPr="005520DA">
        <w:t xml:space="preserve">pohyboval od </w:t>
      </w:r>
      <w:r w:rsidR="005520DA" w:rsidRPr="005520DA">
        <w:t>8,1</w:t>
      </w:r>
      <w:r w:rsidR="006C1EE4" w:rsidRPr="005520DA">
        <w:t> % v</w:t>
      </w:r>
      <w:r w:rsidR="005520DA" w:rsidRPr="005520DA">
        <w:t xml:space="preserve">e </w:t>
      </w:r>
      <w:r w:rsidR="006E1772">
        <w:t>veřejné správě a </w:t>
      </w:r>
      <w:r w:rsidR="005520DA" w:rsidRPr="005520DA">
        <w:t>obraně po</w:t>
      </w:r>
      <w:r w:rsidR="006C1EE4" w:rsidRPr="005520DA">
        <w:t> </w:t>
      </w:r>
      <w:r w:rsidR="005520DA" w:rsidRPr="005520DA">
        <w:t>9,8</w:t>
      </w:r>
      <w:r w:rsidR="006C1EE4" w:rsidRPr="005520DA">
        <w:t> </w:t>
      </w:r>
      <w:r w:rsidRPr="005520DA">
        <w:t xml:space="preserve">% </w:t>
      </w:r>
      <w:r w:rsidR="006C1EE4" w:rsidRPr="005520DA">
        <w:t>v</w:t>
      </w:r>
      <w:r w:rsidR="005520DA" w:rsidRPr="005520DA">
        <w:t xml:space="preserve"> zemědělství, lesnictví a rybářství</w:t>
      </w:r>
      <w:r w:rsidR="006C1EE4" w:rsidRPr="005520DA">
        <w:t xml:space="preserve">. </w:t>
      </w:r>
    </w:p>
    <w:p w14:paraId="3460E657" w14:textId="77777777" w:rsidR="00A46E8F" w:rsidRPr="0039199A" w:rsidRDefault="00F928C3" w:rsidP="00A46E8F">
      <w:pPr>
        <w:rPr>
          <w:color w:val="E36C0A" w:themeColor="accent6" w:themeShade="BF"/>
        </w:rPr>
      </w:pPr>
      <w:r w:rsidRPr="005520DA">
        <w:t xml:space="preserve">Ve zpracovatelském průmyslu, jako největší sekci CZ-NACE, se mzdy zvýšily o </w:t>
      </w:r>
      <w:r w:rsidR="005520DA" w:rsidRPr="005520DA">
        <w:t>9,3 % na 41</w:t>
      </w:r>
      <w:r w:rsidRPr="005520DA">
        <w:t> </w:t>
      </w:r>
      <w:r w:rsidR="005520DA" w:rsidRPr="005520DA">
        <w:t>549</w:t>
      </w:r>
      <w:r w:rsidRPr="005520DA">
        <w:t xml:space="preserve"> Kč. </w:t>
      </w:r>
      <w:r w:rsidR="009B121C" w:rsidRPr="005520DA">
        <w:t>O málo slabší</w:t>
      </w:r>
      <w:r w:rsidR="00042987" w:rsidRPr="005520DA">
        <w:t xml:space="preserve"> růst</w:t>
      </w:r>
      <w:r w:rsidR="009B121C" w:rsidRPr="005520DA">
        <w:t xml:space="preserve"> (</w:t>
      </w:r>
      <w:r w:rsidR="005520DA" w:rsidRPr="005520DA">
        <w:t>9,0</w:t>
      </w:r>
      <w:r w:rsidRPr="005520DA">
        <w:t> %) najdeme ve stavebnictví, kde mzdy stouply na 3</w:t>
      </w:r>
      <w:r w:rsidR="005520DA" w:rsidRPr="005520DA">
        <w:t>7</w:t>
      </w:r>
      <w:r w:rsidRPr="005520DA">
        <w:t> </w:t>
      </w:r>
      <w:r w:rsidR="005520DA" w:rsidRPr="005520DA">
        <w:t>223</w:t>
      </w:r>
      <w:r w:rsidRPr="005520DA">
        <w:t xml:space="preserve"> Kč. V dopravě a skladování o </w:t>
      </w:r>
      <w:r w:rsidR="005520DA" w:rsidRPr="005520DA">
        <w:t>9</w:t>
      </w:r>
      <w:r w:rsidR="009B121C" w:rsidRPr="005520DA">
        <w:t>,7</w:t>
      </w:r>
      <w:r w:rsidRPr="005520DA">
        <w:t> % na 3</w:t>
      </w:r>
      <w:r w:rsidR="005520DA" w:rsidRPr="005520DA">
        <w:t>8</w:t>
      </w:r>
      <w:r w:rsidRPr="005520DA">
        <w:t> </w:t>
      </w:r>
      <w:r w:rsidR="009B121C" w:rsidRPr="005520DA">
        <w:t>7</w:t>
      </w:r>
      <w:r w:rsidR="005520DA" w:rsidRPr="005520DA">
        <w:t>06</w:t>
      </w:r>
      <w:r w:rsidRPr="005520DA">
        <w:t> Kč.</w:t>
      </w:r>
      <w:r w:rsidR="005520DA">
        <w:t xml:space="preserve"> Ve v</w:t>
      </w:r>
      <w:r w:rsidR="005520DA" w:rsidRPr="005520DA">
        <w:t>elkoobchod</w:t>
      </w:r>
      <w:r w:rsidR="005520DA">
        <w:t>ě</w:t>
      </w:r>
      <w:r w:rsidR="005520DA" w:rsidRPr="005520DA">
        <w:t xml:space="preserve"> a maloobchod</w:t>
      </w:r>
      <w:r w:rsidR="005520DA">
        <w:t>ě, opravách</w:t>
      </w:r>
      <w:r w:rsidR="006E1772">
        <w:t xml:space="preserve"> a </w:t>
      </w:r>
      <w:r w:rsidR="005520DA" w:rsidRPr="005520DA">
        <w:t>údržb</w:t>
      </w:r>
      <w:r w:rsidR="005520DA">
        <w:t>ě</w:t>
      </w:r>
      <w:r w:rsidR="005520DA" w:rsidRPr="005520DA">
        <w:t xml:space="preserve"> motorových vozidel</w:t>
      </w:r>
      <w:r w:rsidR="005520DA">
        <w:t xml:space="preserve"> jako druhé </w:t>
      </w:r>
      <w:r w:rsidR="007A4B39">
        <w:t xml:space="preserve">početně </w:t>
      </w:r>
      <w:r w:rsidR="005520DA">
        <w:t>nejvýznamnějš</w:t>
      </w:r>
      <w:r w:rsidR="00DA260B">
        <w:t>í sekci mzdy stouply o 8,5 % na </w:t>
      </w:r>
      <w:r w:rsidR="005520DA">
        <w:t>39 574 Kč.</w:t>
      </w:r>
    </w:p>
    <w:p w14:paraId="04716C0E" w14:textId="77777777" w:rsidR="009B121C" w:rsidRPr="005520DA" w:rsidRDefault="00A46E8F" w:rsidP="00A46E8F">
      <w:r w:rsidRPr="005520DA">
        <w:rPr>
          <w:noProof/>
          <w:lang w:eastAsia="cs-CZ"/>
        </w:rPr>
        <w:t xml:space="preserve">Z hlediska statistiky pracovní doby bylo </w:t>
      </w:r>
      <w:r w:rsidR="005520DA" w:rsidRPr="005520DA">
        <w:rPr>
          <w:noProof/>
          <w:lang w:eastAsia="cs-CZ"/>
        </w:rPr>
        <w:t>4</w:t>
      </w:r>
      <w:r w:rsidRPr="005520DA">
        <w:rPr>
          <w:noProof/>
          <w:lang w:eastAsia="cs-CZ"/>
        </w:rPr>
        <w:t>. čtvrtletí 202</w:t>
      </w:r>
      <w:r w:rsidR="009B121C" w:rsidRPr="005520DA">
        <w:rPr>
          <w:noProof/>
          <w:lang w:eastAsia="cs-CZ"/>
        </w:rPr>
        <w:t>2</w:t>
      </w:r>
      <w:r w:rsidRPr="005520DA">
        <w:rPr>
          <w:noProof/>
          <w:lang w:eastAsia="cs-CZ"/>
        </w:rPr>
        <w:t xml:space="preserve"> charakteristické </w:t>
      </w:r>
      <w:r w:rsidR="009B121C" w:rsidRPr="005520DA">
        <w:rPr>
          <w:noProof/>
          <w:lang w:eastAsia="cs-CZ"/>
        </w:rPr>
        <w:t>niž</w:t>
      </w:r>
      <w:r w:rsidRPr="005520DA">
        <w:rPr>
          <w:noProof/>
          <w:lang w:eastAsia="cs-CZ"/>
        </w:rPr>
        <w:t>ším počtem neodpracovaných hodin ve srovnání se stejným obdobím předchozího roku.</w:t>
      </w:r>
      <w:r w:rsidR="003C772C" w:rsidRPr="005520DA">
        <w:rPr>
          <w:noProof/>
          <w:lang w:eastAsia="cs-CZ"/>
        </w:rPr>
        <w:t xml:space="preserve"> Ve </w:t>
      </w:r>
      <w:r w:rsidR="005520DA" w:rsidRPr="005520DA">
        <w:rPr>
          <w:noProof/>
          <w:lang w:eastAsia="cs-CZ"/>
        </w:rPr>
        <w:t>4</w:t>
      </w:r>
      <w:r w:rsidR="003C772C" w:rsidRPr="005520DA">
        <w:rPr>
          <w:noProof/>
          <w:lang w:eastAsia="cs-CZ"/>
        </w:rPr>
        <w:t>.čtvrtletí tvoří zpravidla významný podíl výdělku mimořádné odměny.</w:t>
      </w:r>
    </w:p>
    <w:p w14:paraId="0E4AFD67" w14:textId="77777777" w:rsidR="00A46E8F" w:rsidRPr="005520DA" w:rsidRDefault="006C1EE4" w:rsidP="00A46E8F">
      <w:pPr>
        <w:rPr>
          <w:noProof/>
          <w:lang w:eastAsia="cs-CZ"/>
        </w:rPr>
      </w:pPr>
      <w:r w:rsidRPr="005520DA">
        <w:t xml:space="preserve">Z hlediska reálných mezd byly všechny </w:t>
      </w:r>
      <w:r w:rsidR="009B121C" w:rsidRPr="005520DA">
        <w:t xml:space="preserve">zde </w:t>
      </w:r>
      <w:r w:rsidRPr="005520DA">
        <w:t xml:space="preserve">zmiňované nárůsty </w:t>
      </w:r>
      <w:r w:rsidR="00446AA2" w:rsidRPr="005520DA">
        <w:t>nižší než inflace, a šlo tedy o </w:t>
      </w:r>
      <w:r w:rsidRPr="005520DA">
        <w:t>poklesy. Lz</w:t>
      </w:r>
      <w:r w:rsidR="005520DA" w:rsidRPr="005520DA">
        <w:t>e tak předpokládat, že až na menší</w:t>
      </w:r>
      <w:r w:rsidRPr="005520DA">
        <w:t xml:space="preserve"> výjimky došlo u všech českých zaměstnanců k</w:t>
      </w:r>
      <w:r w:rsidR="009B121C" w:rsidRPr="005520DA">
        <w:t xml:space="preserve"> meziročnímu </w:t>
      </w:r>
      <w:r w:rsidRPr="005520DA">
        <w:t>poklesu kupní síly výdělků.</w:t>
      </w:r>
    </w:p>
    <w:p w14:paraId="6DE80140" w14:textId="77777777" w:rsidR="00A46E8F" w:rsidRPr="0039199A" w:rsidRDefault="00A46E8F" w:rsidP="00A46E8F">
      <w:pPr>
        <w:rPr>
          <w:color w:val="E36C0A" w:themeColor="accent6" w:themeShade="BF"/>
        </w:rPr>
      </w:pPr>
    </w:p>
    <w:p w14:paraId="7884F439" w14:textId="77777777" w:rsidR="00A46E8F" w:rsidRPr="0039199A" w:rsidRDefault="00A46E8F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39199A">
        <w:rPr>
          <w:rFonts w:cs="Arial"/>
          <w:b/>
          <w:szCs w:val="20"/>
        </w:rPr>
        <w:t>Regionální vývoj</w:t>
      </w:r>
    </w:p>
    <w:p w14:paraId="1F9A3834" w14:textId="1420DF6C" w:rsidR="00E560DB" w:rsidRPr="00E560DB" w:rsidRDefault="00A46E8F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39199A">
        <w:rPr>
          <w:rFonts w:cs="Arial"/>
          <w:szCs w:val="20"/>
        </w:rPr>
        <w:t xml:space="preserve">Krajské výsledky </w:t>
      </w:r>
      <w:r w:rsidR="00E542A9" w:rsidRPr="0039199A">
        <w:rPr>
          <w:rFonts w:cs="Arial"/>
          <w:szCs w:val="20"/>
        </w:rPr>
        <w:t>ne</w:t>
      </w:r>
      <w:r w:rsidR="004D605C">
        <w:rPr>
          <w:rFonts w:cs="Arial"/>
          <w:szCs w:val="20"/>
        </w:rPr>
        <w:t xml:space="preserve">vykreslují </w:t>
      </w:r>
      <w:r w:rsidR="00E542A9" w:rsidRPr="0039199A">
        <w:rPr>
          <w:rFonts w:cs="Arial"/>
          <w:szCs w:val="20"/>
        </w:rPr>
        <w:t xml:space="preserve">tak výrazné </w:t>
      </w:r>
      <w:r w:rsidR="00C723E4" w:rsidRPr="0039199A">
        <w:rPr>
          <w:rFonts w:cs="Arial"/>
          <w:szCs w:val="20"/>
        </w:rPr>
        <w:t>rozdíly</w:t>
      </w:r>
      <w:r w:rsidR="004D605C">
        <w:rPr>
          <w:rFonts w:cs="Arial"/>
          <w:szCs w:val="20"/>
        </w:rPr>
        <w:t xml:space="preserve">, </w:t>
      </w:r>
      <w:r w:rsidR="00E542A9" w:rsidRPr="0039199A">
        <w:rPr>
          <w:rFonts w:cs="Arial"/>
          <w:szCs w:val="20"/>
        </w:rPr>
        <w:t xml:space="preserve">jako </w:t>
      </w:r>
      <w:r w:rsidR="004D605C">
        <w:rPr>
          <w:rFonts w:cs="Arial"/>
          <w:szCs w:val="20"/>
        </w:rPr>
        <w:t xml:space="preserve">vidíme </w:t>
      </w:r>
      <w:r w:rsidR="00C723E4" w:rsidRPr="0039199A">
        <w:rPr>
          <w:rFonts w:cs="Arial"/>
          <w:szCs w:val="20"/>
        </w:rPr>
        <w:t>u </w:t>
      </w:r>
      <w:r w:rsidR="00E542A9" w:rsidRPr="00E560DB">
        <w:rPr>
          <w:rFonts w:cs="Arial"/>
          <w:szCs w:val="20"/>
        </w:rPr>
        <w:t xml:space="preserve">odvětví. </w:t>
      </w:r>
      <w:r w:rsidR="00E560DB">
        <w:rPr>
          <w:rFonts w:cs="Arial"/>
          <w:szCs w:val="20"/>
        </w:rPr>
        <w:t>Nicméně z</w:t>
      </w:r>
      <w:r w:rsidRPr="00E560DB">
        <w:rPr>
          <w:rFonts w:cs="Arial"/>
          <w:szCs w:val="20"/>
        </w:rPr>
        <w:t xml:space="preserve"> pohledu počtu zaměstnanců ve </w:t>
      </w:r>
      <w:r w:rsidR="00E560DB" w:rsidRPr="00E560DB">
        <w:rPr>
          <w:rFonts w:cs="Arial"/>
          <w:szCs w:val="20"/>
        </w:rPr>
        <w:t>4</w:t>
      </w:r>
      <w:r w:rsidRPr="00E560DB">
        <w:rPr>
          <w:rFonts w:cs="Arial"/>
          <w:szCs w:val="20"/>
        </w:rPr>
        <w:t>. čtvrtletí 202</w:t>
      </w:r>
      <w:r w:rsidR="00B171F8" w:rsidRPr="00E560DB">
        <w:rPr>
          <w:rFonts w:cs="Arial"/>
          <w:szCs w:val="20"/>
        </w:rPr>
        <w:t>2</w:t>
      </w:r>
      <w:r w:rsidRPr="00E560DB">
        <w:rPr>
          <w:rFonts w:cs="Arial"/>
          <w:szCs w:val="20"/>
        </w:rPr>
        <w:t xml:space="preserve"> došlo u </w:t>
      </w:r>
      <w:r w:rsidR="00E560DB" w:rsidRPr="00E560DB">
        <w:rPr>
          <w:rFonts w:cs="Arial"/>
          <w:szCs w:val="20"/>
        </w:rPr>
        <w:t>pěti</w:t>
      </w:r>
      <w:r w:rsidRPr="00E560DB">
        <w:rPr>
          <w:rFonts w:cs="Arial"/>
          <w:szCs w:val="20"/>
        </w:rPr>
        <w:t xml:space="preserve"> kraj</w:t>
      </w:r>
      <w:r w:rsidR="00C723E4" w:rsidRPr="00E560DB">
        <w:rPr>
          <w:rFonts w:cs="Arial"/>
          <w:szCs w:val="20"/>
        </w:rPr>
        <w:t>ů</w:t>
      </w:r>
      <w:r w:rsidRPr="00E560DB">
        <w:rPr>
          <w:rFonts w:cs="Arial"/>
          <w:szCs w:val="20"/>
        </w:rPr>
        <w:t xml:space="preserve"> k</w:t>
      </w:r>
      <w:r w:rsidR="00C723E4" w:rsidRPr="00E560DB">
        <w:rPr>
          <w:rFonts w:cs="Arial"/>
          <w:szCs w:val="20"/>
        </w:rPr>
        <w:t> m</w:t>
      </w:r>
      <w:r w:rsidR="00E560DB" w:rsidRPr="00E560DB">
        <w:rPr>
          <w:rFonts w:cs="Arial"/>
          <w:szCs w:val="20"/>
        </w:rPr>
        <w:t>enším</w:t>
      </w:r>
      <w:r w:rsidR="00C723E4" w:rsidRPr="00E560DB">
        <w:rPr>
          <w:rFonts w:cs="Arial"/>
          <w:szCs w:val="20"/>
        </w:rPr>
        <w:t xml:space="preserve"> </w:t>
      </w:r>
      <w:r w:rsidRPr="00E560DB">
        <w:rPr>
          <w:rFonts w:cs="Arial"/>
          <w:szCs w:val="20"/>
        </w:rPr>
        <w:t>meziročním pokles</w:t>
      </w:r>
      <w:r w:rsidR="00E560DB" w:rsidRPr="00E560DB">
        <w:rPr>
          <w:rFonts w:cs="Arial"/>
          <w:szCs w:val="20"/>
        </w:rPr>
        <w:t>ům</w:t>
      </w:r>
      <w:r w:rsidRPr="00E560DB">
        <w:rPr>
          <w:rFonts w:cs="Arial"/>
          <w:szCs w:val="20"/>
        </w:rPr>
        <w:t>, o</w:t>
      </w:r>
      <w:r w:rsidR="00C723E4" w:rsidRPr="00E560DB">
        <w:rPr>
          <w:rFonts w:cs="Arial"/>
          <w:szCs w:val="20"/>
        </w:rPr>
        <w:t> </w:t>
      </w:r>
      <w:r w:rsidRPr="00E560DB">
        <w:rPr>
          <w:rFonts w:cs="Arial"/>
          <w:szCs w:val="20"/>
        </w:rPr>
        <w:t>0,</w:t>
      </w:r>
      <w:r w:rsidR="00E560DB" w:rsidRPr="00E560DB">
        <w:rPr>
          <w:rFonts w:cs="Arial"/>
          <w:szCs w:val="20"/>
        </w:rPr>
        <w:t>7</w:t>
      </w:r>
      <w:r w:rsidRPr="00E560DB">
        <w:rPr>
          <w:rFonts w:cs="Arial"/>
          <w:szCs w:val="20"/>
        </w:rPr>
        <w:t> % v Ústeckém kraji</w:t>
      </w:r>
      <w:r w:rsidR="00E560DB" w:rsidRPr="00E560DB">
        <w:rPr>
          <w:rFonts w:cs="Arial"/>
          <w:szCs w:val="20"/>
        </w:rPr>
        <w:t>,</w:t>
      </w:r>
      <w:r w:rsidR="00F01ABB" w:rsidRPr="00E560DB">
        <w:rPr>
          <w:rFonts w:cs="Arial"/>
          <w:szCs w:val="20"/>
        </w:rPr>
        <w:t xml:space="preserve"> o 0,</w:t>
      </w:r>
      <w:r w:rsidR="00E560DB" w:rsidRPr="00E560DB">
        <w:rPr>
          <w:rFonts w:cs="Arial"/>
          <w:szCs w:val="20"/>
        </w:rPr>
        <w:t>4</w:t>
      </w:r>
      <w:r w:rsidR="00F01ABB" w:rsidRPr="00E560DB">
        <w:rPr>
          <w:rFonts w:cs="Arial"/>
          <w:szCs w:val="20"/>
        </w:rPr>
        <w:t> % v</w:t>
      </w:r>
      <w:r w:rsidR="00E560DB" w:rsidRPr="00E560DB">
        <w:rPr>
          <w:rFonts w:cs="Arial"/>
          <w:szCs w:val="20"/>
        </w:rPr>
        <w:t> Olomouc</w:t>
      </w:r>
      <w:r w:rsidR="00C723E4" w:rsidRPr="00E560DB">
        <w:rPr>
          <w:rFonts w:cs="Arial"/>
          <w:szCs w:val="20"/>
        </w:rPr>
        <w:t>kém</w:t>
      </w:r>
      <w:r w:rsidR="006E1772">
        <w:rPr>
          <w:rFonts w:cs="Arial"/>
          <w:szCs w:val="20"/>
        </w:rPr>
        <w:t xml:space="preserve"> a Zlínském, o 0,2 </w:t>
      </w:r>
      <w:r w:rsidR="00E560DB" w:rsidRPr="00E560DB">
        <w:rPr>
          <w:rFonts w:cs="Arial"/>
          <w:szCs w:val="20"/>
        </w:rPr>
        <w:t xml:space="preserve">% v Moravskoslezském </w:t>
      </w:r>
      <w:r w:rsidR="00E560DB" w:rsidRPr="00E560DB">
        <w:rPr>
          <w:rFonts w:cs="Arial"/>
          <w:szCs w:val="20"/>
        </w:rPr>
        <w:lastRenderedPageBreak/>
        <w:t>a</w:t>
      </w:r>
      <w:r w:rsidR="004D605C">
        <w:rPr>
          <w:rFonts w:cs="Arial"/>
          <w:szCs w:val="20"/>
        </w:rPr>
        <w:t> </w:t>
      </w:r>
      <w:r w:rsidR="00E560DB" w:rsidRPr="00E560DB">
        <w:rPr>
          <w:rFonts w:cs="Arial"/>
          <w:szCs w:val="20"/>
        </w:rPr>
        <w:t>o 0,1 % v kraji Vysočina</w:t>
      </w:r>
      <w:r w:rsidRPr="00E560DB">
        <w:rPr>
          <w:rFonts w:cs="Arial"/>
          <w:szCs w:val="20"/>
        </w:rPr>
        <w:t xml:space="preserve">. Na druhé straně </w:t>
      </w:r>
      <w:r w:rsidR="00E560DB" w:rsidRPr="00E560DB">
        <w:rPr>
          <w:rFonts w:cs="Arial"/>
          <w:szCs w:val="20"/>
        </w:rPr>
        <w:t xml:space="preserve">opět </w:t>
      </w:r>
      <w:r w:rsidRPr="00E560DB">
        <w:rPr>
          <w:rFonts w:cs="Arial"/>
          <w:szCs w:val="20"/>
        </w:rPr>
        <w:t>výrazně vzrostl počet zamě</w:t>
      </w:r>
      <w:r w:rsidR="00C723E4" w:rsidRPr="00E560DB">
        <w:rPr>
          <w:rFonts w:cs="Arial"/>
          <w:szCs w:val="20"/>
        </w:rPr>
        <w:t>stnanců v Praze (</w:t>
      </w:r>
      <w:r w:rsidR="00E560DB" w:rsidRPr="00E560DB">
        <w:rPr>
          <w:rFonts w:cs="Arial"/>
          <w:szCs w:val="20"/>
        </w:rPr>
        <w:t>o </w:t>
      </w:r>
      <w:r w:rsidR="00C723E4" w:rsidRPr="00E560DB">
        <w:rPr>
          <w:rFonts w:cs="Arial"/>
          <w:szCs w:val="20"/>
        </w:rPr>
        <w:t>3,3</w:t>
      </w:r>
      <w:r w:rsidRPr="00E560DB">
        <w:rPr>
          <w:rFonts w:cs="Arial"/>
          <w:szCs w:val="20"/>
        </w:rPr>
        <w:t xml:space="preserve"> %), </w:t>
      </w:r>
      <w:r w:rsidR="00C723E4" w:rsidRPr="00E560DB">
        <w:rPr>
          <w:rFonts w:cs="Arial"/>
          <w:szCs w:val="20"/>
        </w:rPr>
        <w:t xml:space="preserve">což navazuje </w:t>
      </w:r>
      <w:r w:rsidR="00E560DB" w:rsidRPr="00E560DB">
        <w:rPr>
          <w:rFonts w:cs="Arial"/>
          <w:szCs w:val="20"/>
        </w:rPr>
        <w:t>i </w:t>
      </w:r>
      <w:r w:rsidR="00C723E4" w:rsidRPr="00E560DB">
        <w:rPr>
          <w:rFonts w:cs="Arial"/>
          <w:szCs w:val="20"/>
        </w:rPr>
        <w:t>na trend patrný v předcovidovém období. V</w:t>
      </w:r>
      <w:r w:rsidR="00E560DB" w:rsidRPr="00E560DB">
        <w:rPr>
          <w:rFonts w:cs="Arial"/>
          <w:szCs w:val="20"/>
        </w:rPr>
        <w:t>yšší</w:t>
      </w:r>
      <w:r w:rsidRPr="00E560DB">
        <w:rPr>
          <w:rFonts w:cs="Arial"/>
          <w:szCs w:val="20"/>
        </w:rPr>
        <w:t xml:space="preserve"> nárůst byl i </w:t>
      </w:r>
      <w:r w:rsidR="00E560DB" w:rsidRPr="00E560DB">
        <w:rPr>
          <w:rFonts w:cs="Arial"/>
          <w:szCs w:val="20"/>
        </w:rPr>
        <w:t xml:space="preserve">v Plzeňském (1,7 %) a </w:t>
      </w:r>
      <w:r w:rsidRPr="00E560DB">
        <w:rPr>
          <w:rFonts w:cs="Arial"/>
          <w:szCs w:val="20"/>
        </w:rPr>
        <w:t xml:space="preserve">ve Středočeském </w:t>
      </w:r>
      <w:r w:rsidR="00C723E4" w:rsidRPr="00E560DB">
        <w:rPr>
          <w:rFonts w:cs="Arial"/>
          <w:szCs w:val="20"/>
        </w:rPr>
        <w:t xml:space="preserve">kraji </w:t>
      </w:r>
      <w:r w:rsidR="00E560DB" w:rsidRPr="00E560DB">
        <w:rPr>
          <w:rFonts w:cs="Arial"/>
          <w:szCs w:val="20"/>
        </w:rPr>
        <w:t>(0,8 %)</w:t>
      </w:r>
      <w:r w:rsidRPr="00E560DB">
        <w:rPr>
          <w:rFonts w:cs="Arial"/>
          <w:szCs w:val="20"/>
        </w:rPr>
        <w:t>.</w:t>
      </w:r>
      <w:r w:rsidR="00F01ABB" w:rsidRPr="00E560DB">
        <w:rPr>
          <w:rFonts w:cs="Arial"/>
          <w:szCs w:val="20"/>
        </w:rPr>
        <w:t xml:space="preserve"> V </w:t>
      </w:r>
      <w:r w:rsidR="00E560DB" w:rsidRPr="00E560DB">
        <w:rPr>
          <w:rFonts w:cs="Arial"/>
          <w:szCs w:val="20"/>
        </w:rPr>
        <w:t>Jihomoravském</w:t>
      </w:r>
      <w:r w:rsidR="00C723E4" w:rsidRPr="00E560DB">
        <w:rPr>
          <w:rFonts w:cs="Arial"/>
          <w:szCs w:val="20"/>
        </w:rPr>
        <w:t xml:space="preserve"> kraji se zvýšil poč</w:t>
      </w:r>
      <w:r w:rsidR="00E560DB" w:rsidRPr="00E560DB">
        <w:rPr>
          <w:rFonts w:cs="Arial"/>
          <w:szCs w:val="20"/>
        </w:rPr>
        <w:t>e</w:t>
      </w:r>
      <w:r w:rsidR="00C723E4" w:rsidRPr="00E560DB">
        <w:rPr>
          <w:rFonts w:cs="Arial"/>
          <w:szCs w:val="20"/>
        </w:rPr>
        <w:t xml:space="preserve">t zaměstnanců </w:t>
      </w:r>
      <w:r w:rsidR="00E560DB" w:rsidRPr="00E560DB">
        <w:rPr>
          <w:rFonts w:cs="Arial"/>
          <w:szCs w:val="20"/>
        </w:rPr>
        <w:t>o 0,5</w:t>
      </w:r>
      <w:r w:rsidR="00C723E4" w:rsidRPr="00E560DB">
        <w:rPr>
          <w:rFonts w:cs="Arial"/>
          <w:szCs w:val="20"/>
        </w:rPr>
        <w:t> %</w:t>
      </w:r>
      <w:r w:rsidR="00E560DB" w:rsidRPr="00E560DB">
        <w:rPr>
          <w:rFonts w:cs="Arial"/>
          <w:szCs w:val="20"/>
        </w:rPr>
        <w:t xml:space="preserve"> a v ostatních krajích méně</w:t>
      </w:r>
      <w:r w:rsidR="00C723E4" w:rsidRPr="00E560DB">
        <w:rPr>
          <w:rFonts w:cs="Arial"/>
          <w:szCs w:val="20"/>
        </w:rPr>
        <w:t>.</w:t>
      </w:r>
    </w:p>
    <w:p w14:paraId="7A6AE25A" w14:textId="77777777" w:rsidR="00E560DB" w:rsidRPr="00EE47C4" w:rsidRDefault="00A46E8F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E560DB">
        <w:rPr>
          <w:rFonts w:cs="Arial"/>
          <w:szCs w:val="20"/>
        </w:rPr>
        <w:t xml:space="preserve">U vývoje průměrných mezd </w:t>
      </w:r>
      <w:r w:rsidR="00C723E4" w:rsidRPr="00E560DB">
        <w:rPr>
          <w:rFonts w:cs="Arial"/>
          <w:szCs w:val="20"/>
        </w:rPr>
        <w:t xml:space="preserve">je těžké nalézt nějaké jednotící pravidlo. </w:t>
      </w:r>
      <w:r w:rsidRPr="00E560DB">
        <w:rPr>
          <w:rFonts w:cs="Arial"/>
          <w:szCs w:val="20"/>
        </w:rPr>
        <w:t>Nej</w:t>
      </w:r>
      <w:r w:rsidR="006E1772">
        <w:rPr>
          <w:rFonts w:cs="Arial"/>
          <w:szCs w:val="20"/>
        </w:rPr>
        <w:t>niž</w:t>
      </w:r>
      <w:r w:rsidRPr="00E560DB">
        <w:rPr>
          <w:rFonts w:cs="Arial"/>
          <w:szCs w:val="20"/>
        </w:rPr>
        <w:t xml:space="preserve">ší </w:t>
      </w:r>
      <w:r w:rsidR="00C723E4" w:rsidRPr="00E560DB">
        <w:rPr>
          <w:rFonts w:cs="Arial"/>
          <w:szCs w:val="20"/>
        </w:rPr>
        <w:t>nominální růst (6</w:t>
      </w:r>
      <w:r w:rsidR="00E560DB" w:rsidRPr="00E560DB">
        <w:rPr>
          <w:rFonts w:cs="Arial"/>
          <w:szCs w:val="20"/>
        </w:rPr>
        <w:t>,</w:t>
      </w:r>
      <w:r w:rsidR="00E560DB" w:rsidRPr="00EE47C4">
        <w:rPr>
          <w:rFonts w:cs="Arial"/>
          <w:szCs w:val="20"/>
        </w:rPr>
        <w:t>5</w:t>
      </w:r>
      <w:r w:rsidR="00C723E4" w:rsidRPr="00EE47C4">
        <w:rPr>
          <w:rFonts w:cs="Arial"/>
          <w:szCs w:val="20"/>
        </w:rPr>
        <w:t xml:space="preserve"> %) </w:t>
      </w:r>
      <w:r w:rsidRPr="00EE47C4">
        <w:rPr>
          <w:rFonts w:cs="Arial"/>
          <w:szCs w:val="20"/>
        </w:rPr>
        <w:t>byl v </w:t>
      </w:r>
      <w:r w:rsidR="00E560DB" w:rsidRPr="00EE47C4">
        <w:rPr>
          <w:rFonts w:cs="Arial"/>
          <w:szCs w:val="20"/>
        </w:rPr>
        <w:t>Karlovarském kraji,</w:t>
      </w:r>
      <w:r w:rsidR="00C723E4" w:rsidRPr="00EE47C4">
        <w:rPr>
          <w:rFonts w:cs="Arial"/>
          <w:szCs w:val="20"/>
        </w:rPr>
        <w:t xml:space="preserve"> </w:t>
      </w:r>
      <w:r w:rsidR="00E560DB" w:rsidRPr="00EE47C4">
        <w:rPr>
          <w:rFonts w:cs="Arial"/>
          <w:szCs w:val="20"/>
        </w:rPr>
        <w:t>slabší byl také</w:t>
      </w:r>
      <w:r w:rsidR="00C723E4" w:rsidRPr="00EE47C4">
        <w:rPr>
          <w:rFonts w:cs="Arial"/>
          <w:szCs w:val="20"/>
        </w:rPr>
        <w:t xml:space="preserve"> v Plzeňském </w:t>
      </w:r>
      <w:r w:rsidR="00E560DB" w:rsidRPr="00EE47C4">
        <w:rPr>
          <w:rFonts w:cs="Arial"/>
          <w:szCs w:val="20"/>
        </w:rPr>
        <w:t xml:space="preserve">a Pardubickém </w:t>
      </w:r>
      <w:r w:rsidR="00C723E4" w:rsidRPr="00EE47C4">
        <w:rPr>
          <w:rFonts w:cs="Arial"/>
          <w:szCs w:val="20"/>
        </w:rPr>
        <w:t>kraji</w:t>
      </w:r>
      <w:r w:rsidR="00F01ABB" w:rsidRPr="00EE47C4">
        <w:rPr>
          <w:rFonts w:cs="Arial"/>
          <w:szCs w:val="20"/>
        </w:rPr>
        <w:t xml:space="preserve"> (</w:t>
      </w:r>
      <w:r w:rsidR="00E560DB" w:rsidRPr="00EE47C4">
        <w:rPr>
          <w:rFonts w:cs="Arial"/>
          <w:szCs w:val="20"/>
        </w:rPr>
        <w:t>shodně 6,7</w:t>
      </w:r>
      <w:r w:rsidR="00F01ABB" w:rsidRPr="00EE47C4">
        <w:rPr>
          <w:rFonts w:cs="Arial"/>
          <w:szCs w:val="20"/>
        </w:rPr>
        <w:t> %)</w:t>
      </w:r>
      <w:r w:rsidR="00E560DB" w:rsidRPr="00EE47C4">
        <w:rPr>
          <w:rFonts w:cs="Arial"/>
          <w:szCs w:val="20"/>
        </w:rPr>
        <w:t>.</w:t>
      </w:r>
    </w:p>
    <w:p w14:paraId="717A9120" w14:textId="77777777" w:rsidR="00C723E4" w:rsidRPr="00EE47C4" w:rsidRDefault="00C723E4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EE47C4">
        <w:rPr>
          <w:rFonts w:cs="Arial"/>
          <w:szCs w:val="20"/>
        </w:rPr>
        <w:t xml:space="preserve">Naopak </w:t>
      </w:r>
      <w:r w:rsidR="00EE47C4">
        <w:rPr>
          <w:rFonts w:cs="Arial"/>
          <w:szCs w:val="20"/>
        </w:rPr>
        <w:t>nej</w:t>
      </w:r>
      <w:r w:rsidRPr="00EE47C4">
        <w:rPr>
          <w:rFonts w:cs="Arial"/>
          <w:szCs w:val="20"/>
        </w:rPr>
        <w:t>v</w:t>
      </w:r>
      <w:r w:rsidR="00EE47C4">
        <w:rPr>
          <w:rFonts w:cs="Arial"/>
          <w:szCs w:val="20"/>
        </w:rPr>
        <w:t>yšší</w:t>
      </w:r>
      <w:r w:rsidRPr="00EE47C4">
        <w:rPr>
          <w:rFonts w:cs="Arial"/>
          <w:szCs w:val="20"/>
        </w:rPr>
        <w:t xml:space="preserve"> mzdový rů</w:t>
      </w:r>
      <w:r w:rsidR="003C772C" w:rsidRPr="00EE47C4">
        <w:rPr>
          <w:rFonts w:cs="Arial"/>
          <w:szCs w:val="20"/>
        </w:rPr>
        <w:t>st zaznamenal</w:t>
      </w:r>
      <w:r w:rsidR="00E560DB" w:rsidRPr="00EE47C4">
        <w:rPr>
          <w:rFonts w:cs="Arial"/>
          <w:szCs w:val="20"/>
        </w:rPr>
        <w:t xml:space="preserve"> Středočeský</w:t>
      </w:r>
      <w:r w:rsidR="003C772C" w:rsidRPr="00EE47C4">
        <w:rPr>
          <w:rFonts w:cs="Arial"/>
          <w:szCs w:val="20"/>
        </w:rPr>
        <w:t xml:space="preserve"> </w:t>
      </w:r>
      <w:r w:rsidR="00E560DB" w:rsidRPr="00EE47C4">
        <w:rPr>
          <w:rFonts w:cs="Arial"/>
          <w:szCs w:val="20"/>
        </w:rPr>
        <w:t xml:space="preserve">kraj </w:t>
      </w:r>
      <w:r w:rsidR="003C772C" w:rsidRPr="00EE47C4">
        <w:rPr>
          <w:rFonts w:cs="Arial"/>
          <w:szCs w:val="20"/>
        </w:rPr>
        <w:t>(</w:t>
      </w:r>
      <w:r w:rsidR="00E560DB" w:rsidRPr="00EE47C4">
        <w:rPr>
          <w:rFonts w:cs="Arial"/>
          <w:szCs w:val="20"/>
        </w:rPr>
        <w:t>8,5</w:t>
      </w:r>
      <w:r w:rsidR="003C772C" w:rsidRPr="00EE47C4">
        <w:rPr>
          <w:rFonts w:cs="Arial"/>
          <w:szCs w:val="20"/>
        </w:rPr>
        <w:t> %)</w:t>
      </w:r>
      <w:r w:rsidR="00E560DB" w:rsidRPr="00EE47C4">
        <w:rPr>
          <w:rFonts w:cs="Arial"/>
          <w:szCs w:val="20"/>
        </w:rPr>
        <w:t xml:space="preserve">, po něm Jihočeský </w:t>
      </w:r>
      <w:r w:rsidR="003C772C" w:rsidRPr="00EE47C4">
        <w:rPr>
          <w:rFonts w:cs="Arial"/>
          <w:szCs w:val="20"/>
        </w:rPr>
        <w:t>(</w:t>
      </w:r>
      <w:r w:rsidR="00EE47C4" w:rsidRPr="00EE47C4">
        <w:rPr>
          <w:rFonts w:cs="Arial"/>
          <w:szCs w:val="20"/>
        </w:rPr>
        <w:t>8,3</w:t>
      </w:r>
      <w:r w:rsidR="003C772C" w:rsidRPr="00EE47C4">
        <w:rPr>
          <w:rFonts w:cs="Arial"/>
          <w:szCs w:val="20"/>
        </w:rPr>
        <w:t xml:space="preserve"> %), následován </w:t>
      </w:r>
      <w:r w:rsidR="00EE47C4" w:rsidRPr="00EE47C4">
        <w:rPr>
          <w:rFonts w:cs="Arial"/>
          <w:szCs w:val="20"/>
        </w:rPr>
        <w:t>Ústeckým</w:t>
      </w:r>
      <w:r w:rsidR="003C772C" w:rsidRPr="00EE47C4">
        <w:rPr>
          <w:rFonts w:cs="Arial"/>
          <w:szCs w:val="20"/>
        </w:rPr>
        <w:t xml:space="preserve"> (</w:t>
      </w:r>
      <w:r w:rsidR="00EE47C4" w:rsidRPr="00EE47C4">
        <w:rPr>
          <w:rFonts w:cs="Arial"/>
          <w:szCs w:val="20"/>
        </w:rPr>
        <w:t>8,2</w:t>
      </w:r>
      <w:r w:rsidR="003C772C" w:rsidRPr="00EE47C4">
        <w:rPr>
          <w:rFonts w:cs="Arial"/>
          <w:szCs w:val="20"/>
        </w:rPr>
        <w:t> %)</w:t>
      </w:r>
      <w:r w:rsidR="00EE47C4" w:rsidRPr="00EE47C4">
        <w:rPr>
          <w:rFonts w:cs="Arial"/>
          <w:szCs w:val="20"/>
        </w:rPr>
        <w:t xml:space="preserve"> a Jihomoravským (8,1 %).</w:t>
      </w:r>
    </w:p>
    <w:p w14:paraId="061E7157" w14:textId="77777777" w:rsidR="00A46E8F" w:rsidRPr="0039199A" w:rsidRDefault="00A46E8F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E36C0A" w:themeColor="accent6" w:themeShade="BF"/>
          <w:szCs w:val="20"/>
        </w:rPr>
      </w:pPr>
      <w:r w:rsidRPr="00EE47C4">
        <w:rPr>
          <w:rFonts w:cs="Arial"/>
          <w:szCs w:val="20"/>
        </w:rPr>
        <w:t>Podle absolutní úrovně</w:t>
      </w:r>
      <w:r w:rsidR="003C772C" w:rsidRPr="00EE47C4">
        <w:rPr>
          <w:rFonts w:cs="Arial"/>
          <w:szCs w:val="20"/>
        </w:rPr>
        <w:t xml:space="preserve"> výdělků zůstává hlavní město nad</w:t>
      </w:r>
      <w:r w:rsidRPr="00EE47C4">
        <w:rPr>
          <w:rFonts w:cs="Arial"/>
          <w:szCs w:val="20"/>
        </w:rPr>
        <w:t>ále nejbohatším regione</w:t>
      </w:r>
      <w:r w:rsidR="00EE47C4">
        <w:rPr>
          <w:rFonts w:cs="Arial"/>
          <w:szCs w:val="20"/>
        </w:rPr>
        <w:t xml:space="preserve">m, průměrná mzda v Praze byla </w:t>
      </w:r>
      <w:r w:rsidR="00EE47C4" w:rsidRPr="00EE47C4">
        <w:rPr>
          <w:rFonts w:cs="Arial"/>
          <w:szCs w:val="20"/>
        </w:rPr>
        <w:t>52</w:t>
      </w:r>
      <w:r w:rsidRPr="00EE47C4">
        <w:rPr>
          <w:rFonts w:cs="Arial"/>
          <w:szCs w:val="20"/>
        </w:rPr>
        <w:t> </w:t>
      </w:r>
      <w:r w:rsidR="00EE47C4" w:rsidRPr="00EE47C4">
        <w:rPr>
          <w:rFonts w:cs="Arial"/>
          <w:szCs w:val="20"/>
        </w:rPr>
        <w:t>213</w:t>
      </w:r>
      <w:r w:rsidRPr="00EE47C4">
        <w:rPr>
          <w:rFonts w:cs="Arial"/>
          <w:szCs w:val="20"/>
        </w:rPr>
        <w:t> Kč.</w:t>
      </w:r>
      <w:r w:rsidR="003C772C" w:rsidRPr="00EE47C4">
        <w:rPr>
          <w:rFonts w:cs="Arial"/>
          <w:szCs w:val="20"/>
        </w:rPr>
        <w:t xml:space="preserve"> Na druhém místě se udržel</w:t>
      </w:r>
      <w:r w:rsidRPr="00EE47C4">
        <w:rPr>
          <w:rFonts w:cs="Arial"/>
          <w:szCs w:val="20"/>
        </w:rPr>
        <w:t xml:space="preserve"> Středočeský kraj s </w:t>
      </w:r>
      <w:r w:rsidR="003C772C" w:rsidRPr="00EE47C4">
        <w:rPr>
          <w:rFonts w:cs="Arial"/>
          <w:szCs w:val="20"/>
        </w:rPr>
        <w:t>4</w:t>
      </w:r>
      <w:r w:rsidR="00EE47C4" w:rsidRPr="00EE47C4">
        <w:rPr>
          <w:rFonts w:cs="Arial"/>
          <w:szCs w:val="20"/>
        </w:rPr>
        <w:t>3</w:t>
      </w:r>
      <w:r w:rsidRPr="00EE47C4">
        <w:rPr>
          <w:rFonts w:cs="Arial"/>
          <w:szCs w:val="20"/>
        </w:rPr>
        <w:t> </w:t>
      </w:r>
      <w:r w:rsidR="00EE47C4" w:rsidRPr="00EE47C4">
        <w:rPr>
          <w:rFonts w:cs="Arial"/>
          <w:szCs w:val="20"/>
        </w:rPr>
        <w:t>730</w:t>
      </w:r>
      <w:r w:rsidRPr="00EE47C4">
        <w:rPr>
          <w:rFonts w:cs="Arial"/>
          <w:szCs w:val="20"/>
        </w:rPr>
        <w:t xml:space="preserve"> Kč. </w:t>
      </w:r>
      <w:r w:rsidR="003C772C" w:rsidRPr="00EE47C4">
        <w:rPr>
          <w:rFonts w:cs="Arial"/>
          <w:szCs w:val="20"/>
        </w:rPr>
        <w:t>Naopak Karlovarský kraj zůstal</w:t>
      </w:r>
      <w:r w:rsidRPr="00EE47C4">
        <w:rPr>
          <w:rFonts w:cs="Arial"/>
          <w:szCs w:val="20"/>
        </w:rPr>
        <w:t xml:space="preserve"> nadále regionem s nejnižší mzdovou úrovní (3</w:t>
      </w:r>
      <w:r w:rsidR="00EE47C4" w:rsidRPr="00EE47C4">
        <w:rPr>
          <w:rFonts w:cs="Arial"/>
          <w:szCs w:val="20"/>
        </w:rPr>
        <w:t>8</w:t>
      </w:r>
      <w:r w:rsidRPr="00EE47C4">
        <w:rPr>
          <w:rFonts w:cs="Arial"/>
          <w:szCs w:val="20"/>
        </w:rPr>
        <w:t> </w:t>
      </w:r>
      <w:r w:rsidR="00EE47C4" w:rsidRPr="00EE47C4">
        <w:rPr>
          <w:rFonts w:cs="Arial"/>
          <w:szCs w:val="20"/>
        </w:rPr>
        <w:t>019</w:t>
      </w:r>
      <w:r w:rsidR="003C772C" w:rsidRPr="00EE47C4">
        <w:rPr>
          <w:rFonts w:cs="Arial"/>
          <w:szCs w:val="20"/>
        </w:rPr>
        <w:t> Kč), s </w:t>
      </w:r>
      <w:r w:rsidRPr="00EE47C4">
        <w:rPr>
          <w:rFonts w:cs="Arial"/>
          <w:szCs w:val="20"/>
        </w:rPr>
        <w:t xml:space="preserve">odstupem následován </w:t>
      </w:r>
      <w:r w:rsidR="005156CC" w:rsidRPr="00EE47C4">
        <w:rPr>
          <w:rFonts w:cs="Arial"/>
          <w:szCs w:val="20"/>
        </w:rPr>
        <w:t>Pardubick</w:t>
      </w:r>
      <w:r w:rsidRPr="00EE47C4">
        <w:rPr>
          <w:rFonts w:cs="Arial"/>
          <w:szCs w:val="20"/>
        </w:rPr>
        <w:t>ým krajem, kde se průměrná mzda dostala na 3</w:t>
      </w:r>
      <w:r w:rsidR="00EE47C4" w:rsidRPr="00EE47C4">
        <w:rPr>
          <w:rFonts w:cs="Arial"/>
          <w:szCs w:val="20"/>
        </w:rPr>
        <w:t>9</w:t>
      </w:r>
      <w:r w:rsidR="005156CC" w:rsidRPr="00EE47C4">
        <w:rPr>
          <w:rFonts w:cs="Arial"/>
          <w:szCs w:val="20"/>
        </w:rPr>
        <w:t> </w:t>
      </w:r>
      <w:r w:rsidR="00EE47C4" w:rsidRPr="00EE47C4">
        <w:rPr>
          <w:rFonts w:cs="Arial"/>
          <w:szCs w:val="20"/>
        </w:rPr>
        <w:t>345 Kč.</w:t>
      </w:r>
    </w:p>
    <w:p w14:paraId="58EEBBB2" w14:textId="77777777" w:rsidR="00B171F8" w:rsidRPr="0039199A" w:rsidRDefault="00B171F8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E36C0A" w:themeColor="accent6" w:themeShade="BF"/>
          <w:szCs w:val="20"/>
        </w:rPr>
      </w:pPr>
    </w:p>
    <w:p w14:paraId="59A37221" w14:textId="77777777" w:rsidR="00B171F8" w:rsidRPr="0039199A" w:rsidRDefault="00B171F8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39199A">
        <w:rPr>
          <w:rFonts w:cs="Arial"/>
          <w:b/>
          <w:szCs w:val="20"/>
        </w:rPr>
        <w:t xml:space="preserve">Kumulativní výsledky za </w:t>
      </w:r>
      <w:r w:rsidR="0039199A" w:rsidRPr="0039199A">
        <w:rPr>
          <w:rFonts w:cs="Arial"/>
          <w:b/>
          <w:szCs w:val="20"/>
        </w:rPr>
        <w:t>celý rok</w:t>
      </w:r>
      <w:r w:rsidRPr="0039199A">
        <w:rPr>
          <w:rFonts w:cs="Arial"/>
          <w:b/>
          <w:szCs w:val="20"/>
        </w:rPr>
        <w:t xml:space="preserve"> 2022</w:t>
      </w:r>
      <w:r w:rsidR="005C02A2">
        <w:rPr>
          <w:rFonts w:cs="Arial"/>
          <w:b/>
          <w:szCs w:val="20"/>
        </w:rPr>
        <w:t xml:space="preserve"> a srovnání s rokem 2018</w:t>
      </w:r>
    </w:p>
    <w:p w14:paraId="6E5E4D5A" w14:textId="77777777" w:rsidR="00381F65" w:rsidRPr="00594733" w:rsidRDefault="00381F65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594733">
        <w:rPr>
          <w:rFonts w:cs="Arial"/>
          <w:szCs w:val="20"/>
        </w:rPr>
        <w:t>Za </w:t>
      </w:r>
      <w:r w:rsidR="0039199A" w:rsidRPr="00594733">
        <w:rPr>
          <w:rFonts w:cs="Arial"/>
          <w:szCs w:val="20"/>
        </w:rPr>
        <w:t>rok</w:t>
      </w:r>
      <w:r w:rsidRPr="00594733">
        <w:rPr>
          <w:rFonts w:cs="Arial"/>
          <w:szCs w:val="20"/>
        </w:rPr>
        <w:t xml:space="preserve"> 2022 se evidenční počet zaměstnanců zvýšil o </w:t>
      </w:r>
      <w:r w:rsidR="00594733" w:rsidRPr="00594733">
        <w:rPr>
          <w:rFonts w:cs="Arial"/>
          <w:szCs w:val="20"/>
        </w:rPr>
        <w:t>0,9</w:t>
      </w:r>
      <w:r w:rsidRPr="00594733">
        <w:rPr>
          <w:rFonts w:cs="Arial"/>
          <w:szCs w:val="20"/>
        </w:rPr>
        <w:t> %. Průměrná mzda</w:t>
      </w:r>
      <w:r w:rsidR="001E4AA2">
        <w:rPr>
          <w:rFonts w:cs="Arial"/>
          <w:szCs w:val="20"/>
        </w:rPr>
        <w:t xml:space="preserve"> (40 353 Kč)</w:t>
      </w:r>
      <w:r w:rsidRPr="00594733">
        <w:rPr>
          <w:rFonts w:cs="Arial"/>
          <w:szCs w:val="20"/>
        </w:rPr>
        <w:t xml:space="preserve"> vzrostla nominálně o </w:t>
      </w:r>
      <w:r w:rsidR="00594733" w:rsidRPr="00594733">
        <w:rPr>
          <w:rFonts w:cs="Arial"/>
          <w:szCs w:val="20"/>
        </w:rPr>
        <w:t>6,</w:t>
      </w:r>
      <w:r w:rsidRPr="00594733">
        <w:rPr>
          <w:rFonts w:cs="Arial"/>
          <w:szCs w:val="20"/>
        </w:rPr>
        <w:t xml:space="preserve">5 %, reálně </w:t>
      </w:r>
      <w:r w:rsidR="00594733" w:rsidRPr="00594733">
        <w:rPr>
          <w:rFonts w:cs="Arial"/>
          <w:szCs w:val="20"/>
        </w:rPr>
        <w:t xml:space="preserve">však </w:t>
      </w:r>
      <w:r w:rsidRPr="00594733">
        <w:rPr>
          <w:rFonts w:cs="Arial"/>
          <w:szCs w:val="20"/>
        </w:rPr>
        <w:t>poklesla o </w:t>
      </w:r>
      <w:r w:rsidR="00594733" w:rsidRPr="00594733">
        <w:rPr>
          <w:rFonts w:cs="Arial"/>
          <w:szCs w:val="20"/>
        </w:rPr>
        <w:t>7,5</w:t>
      </w:r>
      <w:r w:rsidRPr="00594733">
        <w:rPr>
          <w:rFonts w:cs="Arial"/>
          <w:szCs w:val="20"/>
        </w:rPr>
        <w:t xml:space="preserve"> %, neboť inflace dosáhla </w:t>
      </w:r>
      <w:r w:rsidR="00594733" w:rsidRPr="00594733">
        <w:rPr>
          <w:rFonts w:cs="Arial"/>
          <w:szCs w:val="20"/>
        </w:rPr>
        <w:t>1</w:t>
      </w:r>
      <w:r w:rsidRPr="00594733">
        <w:rPr>
          <w:rFonts w:cs="Arial"/>
          <w:szCs w:val="20"/>
        </w:rPr>
        <w:t>5</w:t>
      </w:r>
      <w:r w:rsidR="00594733" w:rsidRPr="00594733">
        <w:rPr>
          <w:rFonts w:cs="Arial"/>
          <w:szCs w:val="20"/>
        </w:rPr>
        <w:t>,1</w:t>
      </w:r>
      <w:r w:rsidRPr="00594733">
        <w:rPr>
          <w:rFonts w:cs="Arial"/>
          <w:szCs w:val="20"/>
        </w:rPr>
        <w:t> %.</w:t>
      </w:r>
    </w:p>
    <w:p w14:paraId="32CA6F15" w14:textId="77777777" w:rsidR="00B171F8" w:rsidRPr="00594733" w:rsidRDefault="00F01ABB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594733">
        <w:rPr>
          <w:rFonts w:cs="Arial"/>
          <w:szCs w:val="20"/>
        </w:rPr>
        <w:t xml:space="preserve">Meziroční indexy za </w:t>
      </w:r>
      <w:r w:rsidR="0039199A" w:rsidRPr="00594733">
        <w:rPr>
          <w:rFonts w:cs="Arial"/>
          <w:szCs w:val="20"/>
        </w:rPr>
        <w:t>celoroční</w:t>
      </w:r>
      <w:r w:rsidRPr="00594733">
        <w:rPr>
          <w:rFonts w:cs="Arial"/>
          <w:szCs w:val="20"/>
        </w:rPr>
        <w:t xml:space="preserve"> údaje </w:t>
      </w:r>
      <w:r w:rsidR="00594733" w:rsidRPr="00594733">
        <w:rPr>
          <w:rFonts w:cs="Arial"/>
          <w:szCs w:val="20"/>
        </w:rPr>
        <w:t xml:space="preserve">tak </w:t>
      </w:r>
      <w:r w:rsidRPr="00594733">
        <w:rPr>
          <w:rFonts w:cs="Arial"/>
          <w:szCs w:val="20"/>
        </w:rPr>
        <w:t>ukazuj</w:t>
      </w:r>
      <w:r w:rsidR="00381F65" w:rsidRPr="00594733">
        <w:rPr>
          <w:rFonts w:cs="Arial"/>
          <w:szCs w:val="20"/>
        </w:rPr>
        <w:t>í</w:t>
      </w:r>
      <w:r w:rsidRPr="00594733">
        <w:rPr>
          <w:rFonts w:cs="Arial"/>
          <w:szCs w:val="20"/>
        </w:rPr>
        <w:t xml:space="preserve"> obrázek, který se výrazně neodlišuje od čtvrtletních. Zajímavější může být porovnání odvětvového vývoj</w:t>
      </w:r>
      <w:r w:rsidR="001B0DFD" w:rsidRPr="00594733">
        <w:rPr>
          <w:rFonts w:cs="Arial"/>
          <w:szCs w:val="20"/>
        </w:rPr>
        <w:t xml:space="preserve">e </w:t>
      </w:r>
      <w:r w:rsidR="00594733">
        <w:rPr>
          <w:rFonts w:cs="Arial"/>
          <w:szCs w:val="20"/>
        </w:rPr>
        <w:t>v</w:t>
      </w:r>
      <w:r w:rsidR="00BF73A7">
        <w:rPr>
          <w:rFonts w:cs="Arial"/>
          <w:szCs w:val="20"/>
        </w:rPr>
        <w:t> delším časovém období</w:t>
      </w:r>
      <w:r w:rsidRPr="00594733">
        <w:rPr>
          <w:rFonts w:cs="Arial"/>
          <w:szCs w:val="20"/>
        </w:rPr>
        <w:t xml:space="preserve">, </w:t>
      </w:r>
      <w:r w:rsidR="00BF73A7">
        <w:rPr>
          <w:rFonts w:cs="Arial"/>
          <w:szCs w:val="20"/>
        </w:rPr>
        <w:t>např.</w:t>
      </w:r>
      <w:r w:rsidRPr="00594733">
        <w:rPr>
          <w:rFonts w:cs="Arial"/>
          <w:szCs w:val="20"/>
        </w:rPr>
        <w:t xml:space="preserve"> z</w:t>
      </w:r>
      <w:r w:rsidR="001B0DFD" w:rsidRPr="00594733">
        <w:rPr>
          <w:rFonts w:cs="Arial"/>
          <w:szCs w:val="20"/>
        </w:rPr>
        <w:t xml:space="preserve">a </w:t>
      </w:r>
      <w:r w:rsidR="00BF73A7">
        <w:rPr>
          <w:rFonts w:cs="Arial"/>
          <w:szCs w:val="20"/>
        </w:rPr>
        <w:t>čtyř</w:t>
      </w:r>
      <w:r w:rsidR="001B0DFD" w:rsidRPr="00594733">
        <w:rPr>
          <w:rFonts w:cs="Arial"/>
          <w:szCs w:val="20"/>
        </w:rPr>
        <w:t>leté období od </w:t>
      </w:r>
      <w:r w:rsidR="00594733" w:rsidRPr="00594733">
        <w:rPr>
          <w:rFonts w:cs="Arial"/>
          <w:szCs w:val="20"/>
        </w:rPr>
        <w:t>roku</w:t>
      </w:r>
      <w:r w:rsidRPr="00594733">
        <w:rPr>
          <w:rFonts w:cs="Arial"/>
          <w:szCs w:val="20"/>
        </w:rPr>
        <w:t xml:space="preserve"> 201</w:t>
      </w:r>
      <w:r w:rsidR="00BF73A7">
        <w:rPr>
          <w:rFonts w:cs="Arial"/>
          <w:szCs w:val="20"/>
        </w:rPr>
        <w:t>8</w:t>
      </w:r>
      <w:r w:rsidRPr="00594733">
        <w:rPr>
          <w:rFonts w:cs="Arial"/>
          <w:szCs w:val="20"/>
        </w:rPr>
        <w:t>.</w:t>
      </w:r>
      <w:r w:rsidR="00381F65" w:rsidRPr="00594733">
        <w:rPr>
          <w:rFonts w:cs="Arial"/>
          <w:szCs w:val="20"/>
        </w:rPr>
        <w:t xml:space="preserve"> </w:t>
      </w:r>
      <w:r w:rsidR="00D0524D" w:rsidRPr="00594733">
        <w:rPr>
          <w:rFonts w:cs="Arial"/>
          <w:szCs w:val="20"/>
        </w:rPr>
        <w:t>K</w:t>
      </w:r>
      <w:r w:rsidR="00381F65" w:rsidRPr="00594733">
        <w:rPr>
          <w:rFonts w:cs="Arial"/>
          <w:szCs w:val="20"/>
        </w:rPr>
        <w:t>umulativní údaje jsou v tomto směru stabilizovanější a tudíž porovnatelnější než čtvrtletní.</w:t>
      </w:r>
    </w:p>
    <w:p w14:paraId="1B1435FF" w14:textId="77777777" w:rsidR="005C02A2" w:rsidRDefault="00D0524D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E36C0A" w:themeColor="accent6" w:themeShade="BF"/>
          <w:szCs w:val="20"/>
        </w:rPr>
      </w:pPr>
      <w:r w:rsidRPr="00594733">
        <w:rPr>
          <w:rFonts w:cs="Arial"/>
          <w:szCs w:val="20"/>
        </w:rPr>
        <w:t xml:space="preserve">Celkově se průměrná mzda za </w:t>
      </w:r>
      <w:r w:rsidR="00BF73A7">
        <w:rPr>
          <w:rFonts w:cs="Arial"/>
          <w:szCs w:val="20"/>
        </w:rPr>
        <w:t>4</w:t>
      </w:r>
      <w:r w:rsidRPr="00594733">
        <w:rPr>
          <w:rFonts w:cs="Arial"/>
          <w:szCs w:val="20"/>
        </w:rPr>
        <w:t>leté období zvýšila nominálně o </w:t>
      </w:r>
      <w:r w:rsidR="00BF73A7">
        <w:rPr>
          <w:rFonts w:cs="Arial"/>
          <w:szCs w:val="20"/>
        </w:rPr>
        <w:t>25,9</w:t>
      </w:r>
      <w:r w:rsidRPr="00594733">
        <w:rPr>
          <w:rFonts w:cs="Arial"/>
          <w:szCs w:val="20"/>
        </w:rPr>
        <w:t> %.</w:t>
      </w:r>
      <w:r w:rsidR="00BF73A7">
        <w:rPr>
          <w:rFonts w:cs="Arial"/>
          <w:szCs w:val="20"/>
        </w:rPr>
        <w:t xml:space="preserve"> Reálně však nedosahuje </w:t>
      </w:r>
      <w:r w:rsidR="001E4AA2">
        <w:rPr>
          <w:rFonts w:cs="Arial"/>
          <w:szCs w:val="20"/>
        </w:rPr>
        <w:t xml:space="preserve">ani </w:t>
      </w:r>
      <w:r w:rsidR="00BF73A7">
        <w:rPr>
          <w:rFonts w:cs="Arial"/>
          <w:szCs w:val="20"/>
        </w:rPr>
        <w:t>úrovně roku 2018, je o 0,5 % nižší kvůli vysoké inflaci, neb</w:t>
      </w:r>
      <w:r w:rsidR="00745E06">
        <w:rPr>
          <w:rFonts w:cs="Arial"/>
          <w:szCs w:val="20"/>
        </w:rPr>
        <w:t>oť index spotřebitelských cen byl</w:t>
      </w:r>
      <w:r w:rsidR="00BF73A7">
        <w:rPr>
          <w:rFonts w:cs="Arial"/>
          <w:szCs w:val="20"/>
        </w:rPr>
        <w:t xml:space="preserve"> za jmenované období vyšší než nominální mzdový nárůst.</w:t>
      </w:r>
    </w:p>
    <w:p w14:paraId="71684868" w14:textId="77777777" w:rsidR="000B07ED" w:rsidRPr="00846DF1" w:rsidRDefault="000B07ED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</w:p>
    <w:p w14:paraId="48AEB6A4" w14:textId="77777777" w:rsidR="006E1772" w:rsidRPr="00846DF1" w:rsidRDefault="000B07ED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846DF1">
        <w:rPr>
          <w:rFonts w:cs="Arial"/>
          <w:b/>
          <w:szCs w:val="20"/>
        </w:rPr>
        <w:t>Graf 1 Vývoj průměrných</w:t>
      </w:r>
      <w:r w:rsidR="006E1772" w:rsidRPr="00846DF1">
        <w:rPr>
          <w:rFonts w:cs="Arial"/>
          <w:b/>
          <w:szCs w:val="20"/>
        </w:rPr>
        <w:t xml:space="preserve"> m</w:t>
      </w:r>
      <w:r w:rsidRPr="00846DF1">
        <w:rPr>
          <w:rFonts w:cs="Arial"/>
          <w:b/>
          <w:szCs w:val="20"/>
        </w:rPr>
        <w:t>e</w:t>
      </w:r>
      <w:r w:rsidR="006E1772" w:rsidRPr="00846DF1">
        <w:rPr>
          <w:rFonts w:cs="Arial"/>
          <w:b/>
          <w:szCs w:val="20"/>
        </w:rPr>
        <w:t>zd v</w:t>
      </w:r>
      <w:r w:rsidR="001E4AA2" w:rsidRPr="00846DF1">
        <w:rPr>
          <w:rFonts w:cs="Arial"/>
          <w:b/>
          <w:szCs w:val="20"/>
        </w:rPr>
        <w:t>e vybraných</w:t>
      </w:r>
      <w:r w:rsidR="006E1772" w:rsidRPr="00846DF1">
        <w:rPr>
          <w:rFonts w:cs="Arial"/>
          <w:b/>
          <w:szCs w:val="20"/>
        </w:rPr>
        <w:t> odvětvích</w:t>
      </w:r>
      <w:r w:rsidRPr="00846DF1">
        <w:rPr>
          <w:rFonts w:cs="Arial"/>
          <w:b/>
          <w:szCs w:val="20"/>
        </w:rPr>
        <w:t>, roky 2018-2022</w:t>
      </w:r>
    </w:p>
    <w:p w14:paraId="71A18AF7" w14:textId="77777777" w:rsidR="005C02A2" w:rsidRDefault="005C02A2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846DF1">
        <w:rPr>
          <w:noProof/>
          <w:lang w:eastAsia="cs-CZ"/>
        </w:rPr>
        <w:drawing>
          <wp:inline distT="0" distB="0" distL="0" distR="0" wp14:anchorId="2273F96A" wp14:editId="0DFB3228">
            <wp:extent cx="5400040" cy="3226435"/>
            <wp:effectExtent l="0" t="0" r="10160" b="1206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5D1A51" w14:textId="77777777" w:rsidR="00846DF1" w:rsidRPr="00846DF1" w:rsidRDefault="00846DF1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</w:p>
    <w:p w14:paraId="57C7878A" w14:textId="77777777" w:rsidR="00FE4CCF" w:rsidRPr="00846DF1" w:rsidRDefault="00FE4CCF" w:rsidP="00FE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>V odvětví administrativní a podpůrné činnosti se mzdy zvýšily relativně nejvíce, z 20 955 Kč na 28 795 Kč, za uvedené čtyři roky tak stouply o 37,4 %, což zvýšení cen bohatě vykompenzovalo. Na opačném konci najdeme veřejnou správu a obranu, kde se průměrný plat dostal pouze z 36 323 Kč na 42 725 Kč, tedy vzrostl jen o 17,6 %.</w:t>
      </w:r>
    </w:p>
    <w:p w14:paraId="1CA7AB7A" w14:textId="77777777" w:rsidR="00FE4CCF" w:rsidRPr="00846DF1" w:rsidRDefault="00FE4CCF" w:rsidP="00FE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>Druhý nejnižší růst byl v těžbě a dobývání, z 36 028 Kč na 43 149 Kč, tedy o 19,8 %. Zpracovatelský průmysl s nominálním nárůstem o 22,0 % je na třetím místě, průměrná mzda se zvýšila z 31 893 Kč na 38 899 Kč.</w:t>
      </w:r>
    </w:p>
    <w:p w14:paraId="676A21D6" w14:textId="77777777" w:rsidR="00FE4CCF" w:rsidRPr="00846DF1" w:rsidRDefault="00FE4CCF" w:rsidP="00FE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>Mzdový vývoj byl v některých odvětvích ale vše jiné než plynulý. Propady v roce 2020 v souvislosti s protiinfekčními opatřeními zaznamenala odvětví nemovitostí, kde však celkově mzdy vzrostly výrazně o </w:t>
      </w:r>
      <w:r w:rsidR="00237262" w:rsidRPr="00846DF1">
        <w:rPr>
          <w:rFonts w:cs="Arial"/>
          <w:szCs w:val="20"/>
        </w:rPr>
        <w:t>2</w:t>
      </w:r>
      <w:r w:rsidRPr="00846DF1">
        <w:rPr>
          <w:rFonts w:cs="Arial"/>
          <w:szCs w:val="20"/>
        </w:rPr>
        <w:t>9,4 %, a také ubytování, stravování a pohostinství, kde se naopak za celé období zvýšily mzdy pouze o 23,0 % z 19 272 Kč na 23 708 Kč. Nevyrovnaný vývoj je patrný na přiloženém grafu také u peněžnictví a pojišťovnictví, kde celkově vzrostly mzdy o 24,0 % z 54 882 Kč na 68 030 Kč.</w:t>
      </w:r>
    </w:p>
    <w:p w14:paraId="6DA1099F" w14:textId="77777777" w:rsidR="00FE4CCF" w:rsidRPr="00846DF1" w:rsidRDefault="00FE4CCF" w:rsidP="00FE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 xml:space="preserve">Různorodost vývoje </w:t>
      </w:r>
      <w:r w:rsidR="00237262" w:rsidRPr="00846DF1">
        <w:rPr>
          <w:rFonts w:cs="Arial"/>
          <w:szCs w:val="20"/>
        </w:rPr>
        <w:t xml:space="preserve">se rovněž odrazila v některých změnách </w:t>
      </w:r>
      <w:r w:rsidRPr="00846DF1">
        <w:rPr>
          <w:rFonts w:cs="Arial"/>
          <w:szCs w:val="20"/>
        </w:rPr>
        <w:t>v pořadí odvětví od nejlépe po nejhůře placené. Speciální jsou v tomto směru odvětví vzdělávání a zdravotní a sociální péče, kde odměňování závisí ve velké míře na vládních rozhodnutích o úpravách tarifů. Ve vzdělávání v letech 2018-2020 průměrná mzda výrazně stoupala, ale potom začala brzdit; celkově se tak zvýšila o 31,8 % z 31 464 Kč na 41 48</w:t>
      </w:r>
      <w:r w:rsidR="00237262" w:rsidRPr="00846DF1">
        <w:rPr>
          <w:rFonts w:cs="Arial"/>
          <w:szCs w:val="20"/>
        </w:rPr>
        <w:t>5</w:t>
      </w:r>
      <w:r w:rsidRPr="00846DF1">
        <w:rPr>
          <w:rFonts w:cs="Arial"/>
          <w:szCs w:val="20"/>
        </w:rPr>
        <w:t> Kč. Zatímco v roce 2018 tak byla ještě pod úrovní průměrné mzdy ve zpracovatelském průmyslu (o 429 Kč), v roce 2022 jí již značně překonávala (o 2 586 Kč). Ještě prudší byl růst ve zdravotní a sociální péči – až do roku 2021, kdy byly vyplaceny vysoké mimořádné (covidové) odměny, avšak potom přišel mzdový pád. Celkově tam vzrostly mzdy o 31,1 % z 33 871 Kč na 44 417 Kč, čímž toto odvětví překonalo mzdovou úroveň ve veřejné správě a obraně.</w:t>
      </w:r>
    </w:p>
    <w:p w14:paraId="55FB14C4" w14:textId="77777777" w:rsidR="00FE4CCF" w:rsidRPr="00846DF1" w:rsidRDefault="00FE4CCF" w:rsidP="00FE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>Vcelku plynulý vývoj najdeme u informačních a komunikačních činností a u energetiky, což jsou odvětví s nejvyšší, resp. třetí nejvyšší absolutní úrovní průměrné mzdy (viz graf).</w:t>
      </w:r>
    </w:p>
    <w:p w14:paraId="1C5894B9" w14:textId="77777777" w:rsidR="00493A56" w:rsidRPr="00846DF1" w:rsidRDefault="00493A56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46DF1">
        <w:rPr>
          <w:rFonts w:cs="Arial"/>
          <w:szCs w:val="20"/>
        </w:rPr>
        <w:t xml:space="preserve">Pozoruhodný vývoj zaznamenala odvětví také z hlediska evidenčního počtu zaměstnanců. Nejvíce se zvýšil u informačních a komunikačních činností, kde za čtyřleté období přibylo 12,4 %. Výrazných 11,8 % to bylo u vzdělávání a 9,0 % v nemovitostech. Naopak největší propad počtu zaměstnanců najdeme v těžbě a dobývání, kde zmizela skoro čtvrtina pracovních míst (23,1 %). Další silné poklesy byly v administrativních a podpůrných činnostech (17,6 %) a v ubytování, stravování a pohostinství (12,1 %). V často </w:t>
      </w:r>
      <w:r w:rsidR="00FE4CCF" w:rsidRPr="00846DF1">
        <w:rPr>
          <w:rFonts w:cs="Arial"/>
          <w:szCs w:val="20"/>
        </w:rPr>
        <w:t>mediál</w:t>
      </w:r>
      <w:r w:rsidRPr="00846DF1">
        <w:rPr>
          <w:rFonts w:cs="Arial"/>
          <w:szCs w:val="20"/>
        </w:rPr>
        <w:t>ně diskutované veřejné správě a obraně došlo k poklesu o 0,1 %.</w:t>
      </w:r>
    </w:p>
    <w:p w14:paraId="0D4E37CE" w14:textId="77777777" w:rsidR="00493A56" w:rsidRPr="00493A56" w:rsidRDefault="00493A56" w:rsidP="00A46E8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548DD4" w:themeColor="text2" w:themeTint="99"/>
          <w:szCs w:val="20"/>
        </w:rPr>
      </w:pPr>
    </w:p>
    <w:p w14:paraId="0CBF8EF7" w14:textId="77777777" w:rsidR="00A46E8F" w:rsidRPr="0039199A" w:rsidRDefault="00A46E8F" w:rsidP="00A46E8F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39199A">
        <w:rPr>
          <w:rFonts w:cs="Arial"/>
          <w:b/>
          <w:bCs/>
          <w:szCs w:val="20"/>
        </w:rPr>
        <w:t>Mediány a decilové rozpětí mezd, třídění podle pohlaví</w:t>
      </w:r>
    </w:p>
    <w:p w14:paraId="2BDC44E4" w14:textId="77777777" w:rsidR="00A46E8F" w:rsidRPr="0039199A" w:rsidRDefault="00A46E8F" w:rsidP="00A46E8F">
      <w:pPr>
        <w:pStyle w:val="Zkladntextodsazen3"/>
        <w:spacing w:after="0" w:line="276" w:lineRule="auto"/>
        <w:ind w:firstLine="0"/>
        <w:rPr>
          <w:rFonts w:cs="Arial"/>
          <w:bCs/>
          <w:color w:val="E36C0A" w:themeColor="accent6" w:themeShade="BF"/>
          <w:szCs w:val="20"/>
        </w:rPr>
      </w:pPr>
      <w:r w:rsidRPr="0039199A">
        <w:rPr>
          <w:rFonts w:cs="Arial"/>
          <w:bCs/>
          <w:szCs w:val="20"/>
        </w:rPr>
        <w:t xml:space="preserve">Rychlá informace </w:t>
      </w:r>
      <w:r w:rsidR="00B171F8" w:rsidRPr="0039199A">
        <w:rPr>
          <w:rFonts w:cs="Arial"/>
          <w:bCs/>
          <w:szCs w:val="20"/>
        </w:rPr>
        <w:t>ČSÚ o mzdách</w:t>
      </w:r>
      <w:r w:rsidRPr="0039199A">
        <w:rPr>
          <w:rFonts w:cs="Arial"/>
          <w:bCs/>
          <w:szCs w:val="20"/>
        </w:rPr>
        <w:t xml:space="preserve"> obsahuje také údaj o mzdovém </w:t>
      </w:r>
      <w:r w:rsidRPr="0039199A">
        <w:rPr>
          <w:rFonts w:cs="Arial"/>
          <w:szCs w:val="20"/>
        </w:rPr>
        <w:t>mediánu</w:t>
      </w:r>
      <w:r w:rsidRPr="0039199A">
        <w:rPr>
          <w:rFonts w:cs="Arial"/>
          <w:bCs/>
          <w:szCs w:val="20"/>
        </w:rPr>
        <w:t>, který je vypočtený z matematického modelu distribuce výdělků a ukazuje mzdu prostředního zaměstnance, tedy běžnou mzdovou</w:t>
      </w:r>
      <w:r w:rsidRPr="00EB337C">
        <w:rPr>
          <w:rFonts w:cs="Arial"/>
          <w:bCs/>
          <w:szCs w:val="20"/>
        </w:rPr>
        <w:t xml:space="preserve"> úroveň; zároveň byly vypočteny také krajní decily. Ve </w:t>
      </w:r>
      <w:r w:rsidR="0039199A" w:rsidRPr="00EB337C">
        <w:rPr>
          <w:rFonts w:cs="Arial"/>
          <w:bCs/>
          <w:szCs w:val="20"/>
        </w:rPr>
        <w:t>4</w:t>
      </w:r>
      <w:r w:rsidRPr="00EB337C">
        <w:rPr>
          <w:rFonts w:cs="Arial"/>
          <w:bCs/>
          <w:szCs w:val="20"/>
        </w:rPr>
        <w:t>. čtvrtletí 202</w:t>
      </w:r>
      <w:r w:rsidR="00B171F8" w:rsidRPr="00EB337C">
        <w:rPr>
          <w:rFonts w:cs="Arial"/>
          <w:bCs/>
          <w:szCs w:val="20"/>
        </w:rPr>
        <w:t>2</w:t>
      </w:r>
      <w:r w:rsidRPr="00EB337C">
        <w:rPr>
          <w:rFonts w:cs="Arial"/>
          <w:bCs/>
          <w:szCs w:val="20"/>
        </w:rPr>
        <w:t xml:space="preserve"> se mzdový medián dostal na 3</w:t>
      </w:r>
      <w:r w:rsidR="00EB337C" w:rsidRPr="00EB337C">
        <w:rPr>
          <w:rFonts w:cs="Arial"/>
          <w:bCs/>
          <w:szCs w:val="20"/>
        </w:rPr>
        <w:t>7</w:t>
      </w:r>
      <w:r w:rsidRPr="00EB337C">
        <w:rPr>
          <w:rFonts w:cs="Arial"/>
          <w:bCs/>
          <w:szCs w:val="20"/>
        </w:rPr>
        <w:t> </w:t>
      </w:r>
      <w:r w:rsidR="00EB337C" w:rsidRPr="00EB337C">
        <w:rPr>
          <w:rFonts w:cs="Arial"/>
          <w:bCs/>
          <w:szCs w:val="20"/>
        </w:rPr>
        <w:t>463</w:t>
      </w:r>
      <w:r w:rsidRPr="00EB337C">
        <w:rPr>
          <w:rFonts w:cs="Arial"/>
          <w:bCs/>
          <w:szCs w:val="20"/>
        </w:rPr>
        <w:t> Kč, to je o </w:t>
      </w:r>
      <w:r w:rsidR="00EB337C" w:rsidRPr="00EB337C">
        <w:rPr>
          <w:rFonts w:cs="Arial"/>
          <w:bCs/>
          <w:szCs w:val="20"/>
        </w:rPr>
        <w:t>3</w:t>
      </w:r>
      <w:r w:rsidRPr="00EB337C">
        <w:rPr>
          <w:rFonts w:cs="Arial"/>
          <w:bCs/>
          <w:szCs w:val="20"/>
        </w:rPr>
        <w:t> </w:t>
      </w:r>
      <w:r w:rsidR="00EB337C" w:rsidRPr="00EB337C">
        <w:rPr>
          <w:rFonts w:cs="Arial"/>
          <w:bCs/>
          <w:szCs w:val="20"/>
        </w:rPr>
        <w:t>084</w:t>
      </w:r>
      <w:r w:rsidRPr="00EB337C">
        <w:rPr>
          <w:rFonts w:cs="Arial"/>
          <w:bCs/>
          <w:szCs w:val="20"/>
        </w:rPr>
        <w:t> Kč (o </w:t>
      </w:r>
      <w:r w:rsidR="00EB337C" w:rsidRPr="00EB337C">
        <w:rPr>
          <w:rFonts w:cs="Arial"/>
          <w:bCs/>
          <w:szCs w:val="20"/>
        </w:rPr>
        <w:t>9,0</w:t>
      </w:r>
      <w:r w:rsidRPr="00EB337C">
        <w:rPr>
          <w:rFonts w:cs="Arial"/>
          <w:bCs/>
          <w:szCs w:val="20"/>
        </w:rPr>
        <w:t> %) více než ve stejném období předchozího roku.</w:t>
      </w:r>
    </w:p>
    <w:p w14:paraId="3C4BAA48" w14:textId="77777777" w:rsidR="00A46E8F" w:rsidRPr="0039199A" w:rsidRDefault="00A46E8F" w:rsidP="00A46E8F">
      <w:pPr>
        <w:pStyle w:val="Zkladntextodsazen3"/>
        <w:spacing w:after="0" w:line="276" w:lineRule="auto"/>
        <w:ind w:firstLine="0"/>
        <w:rPr>
          <w:rFonts w:cs="Arial"/>
          <w:bCs/>
          <w:color w:val="E36C0A" w:themeColor="accent6" w:themeShade="BF"/>
          <w:szCs w:val="20"/>
        </w:rPr>
      </w:pPr>
      <w:r w:rsidRPr="0039199A">
        <w:rPr>
          <w:rFonts w:cs="Arial"/>
          <w:bCs/>
          <w:szCs w:val="20"/>
        </w:rPr>
        <w:t xml:space="preserve">Mzdová </w:t>
      </w:r>
      <w:r w:rsidRPr="00EB337C">
        <w:rPr>
          <w:rFonts w:cs="Arial"/>
          <w:bCs/>
          <w:szCs w:val="20"/>
        </w:rPr>
        <w:t>distribuce se ve </w:t>
      </w:r>
      <w:r w:rsidR="0039199A" w:rsidRPr="00EB337C">
        <w:rPr>
          <w:rFonts w:cs="Arial"/>
          <w:bCs/>
          <w:szCs w:val="20"/>
        </w:rPr>
        <w:t>4</w:t>
      </w:r>
      <w:r w:rsidRPr="00EB337C">
        <w:rPr>
          <w:rFonts w:cs="Arial"/>
          <w:bCs/>
          <w:szCs w:val="20"/>
        </w:rPr>
        <w:t>. čtvrtletí 202</w:t>
      </w:r>
      <w:r w:rsidR="00B171F8" w:rsidRPr="00EB337C">
        <w:rPr>
          <w:rFonts w:cs="Arial"/>
          <w:bCs/>
          <w:szCs w:val="20"/>
        </w:rPr>
        <w:t>2</w:t>
      </w:r>
      <w:r w:rsidRPr="00EB337C">
        <w:rPr>
          <w:rFonts w:cs="Arial"/>
          <w:bCs/>
          <w:szCs w:val="20"/>
        </w:rPr>
        <w:t xml:space="preserve"> ve srovnání s loňským rokem </w:t>
      </w:r>
      <w:r w:rsidR="00EB337C" w:rsidRPr="00EB337C">
        <w:rPr>
          <w:rFonts w:cs="Arial"/>
          <w:bCs/>
          <w:szCs w:val="20"/>
        </w:rPr>
        <w:t xml:space="preserve">mírně </w:t>
      </w:r>
      <w:r w:rsidR="00377710" w:rsidRPr="00EB337C">
        <w:rPr>
          <w:rFonts w:cs="Arial"/>
          <w:bCs/>
          <w:szCs w:val="20"/>
        </w:rPr>
        <w:t>zúži</w:t>
      </w:r>
      <w:r w:rsidRPr="00EB337C">
        <w:rPr>
          <w:rFonts w:cs="Arial"/>
          <w:bCs/>
          <w:szCs w:val="20"/>
        </w:rPr>
        <w:t>la</w:t>
      </w:r>
      <w:r w:rsidR="00EB337C">
        <w:rPr>
          <w:rFonts w:cs="Arial"/>
          <w:bCs/>
          <w:szCs w:val="20"/>
        </w:rPr>
        <w:t>.</w:t>
      </w:r>
      <w:r w:rsidRPr="00EB337C">
        <w:rPr>
          <w:rFonts w:cs="Arial"/>
          <w:bCs/>
          <w:szCs w:val="20"/>
        </w:rPr>
        <w:t xml:space="preserve"> </w:t>
      </w:r>
      <w:r w:rsidR="00EB337C">
        <w:rPr>
          <w:rFonts w:cs="Arial"/>
          <w:bCs/>
          <w:szCs w:val="20"/>
        </w:rPr>
        <w:t>D</w:t>
      </w:r>
      <w:r w:rsidRPr="00EB337C">
        <w:rPr>
          <w:rFonts w:cs="Arial"/>
          <w:bCs/>
          <w:szCs w:val="20"/>
        </w:rPr>
        <w:t>esetina zaměstnanců s nejnižšími mzdami pobírala hrubou mzdu pod hranicí 1</w:t>
      </w:r>
      <w:r w:rsidR="00EB337C" w:rsidRPr="00EB337C">
        <w:rPr>
          <w:rFonts w:cs="Arial"/>
          <w:bCs/>
          <w:szCs w:val="20"/>
        </w:rPr>
        <w:t>8</w:t>
      </w:r>
      <w:r w:rsidRPr="00EB337C">
        <w:rPr>
          <w:rFonts w:cs="Arial"/>
          <w:bCs/>
          <w:szCs w:val="20"/>
        </w:rPr>
        <w:t> </w:t>
      </w:r>
      <w:r w:rsidR="00EB337C" w:rsidRPr="00EB337C">
        <w:rPr>
          <w:rFonts w:cs="Arial"/>
          <w:bCs/>
          <w:szCs w:val="20"/>
        </w:rPr>
        <w:t>666</w:t>
      </w:r>
      <w:r w:rsidRPr="00EB337C">
        <w:rPr>
          <w:rFonts w:cs="Arial"/>
          <w:bCs/>
          <w:szCs w:val="20"/>
        </w:rPr>
        <w:t> Kč (dolní decil meziročně vzrostl o </w:t>
      </w:r>
      <w:r w:rsidR="00377710" w:rsidRPr="00EB337C">
        <w:rPr>
          <w:rFonts w:cs="Arial"/>
          <w:bCs/>
          <w:szCs w:val="20"/>
        </w:rPr>
        <w:t>8</w:t>
      </w:r>
      <w:r w:rsidRPr="00EB337C">
        <w:rPr>
          <w:rFonts w:cs="Arial"/>
          <w:bCs/>
          <w:szCs w:val="20"/>
        </w:rPr>
        <w:t>,</w:t>
      </w:r>
      <w:r w:rsidR="00EB337C" w:rsidRPr="00EB337C">
        <w:rPr>
          <w:rFonts w:cs="Arial"/>
          <w:bCs/>
          <w:szCs w:val="20"/>
        </w:rPr>
        <w:t>0</w:t>
      </w:r>
      <w:r w:rsidRPr="00EB337C">
        <w:rPr>
          <w:rFonts w:cs="Arial"/>
          <w:bCs/>
          <w:szCs w:val="20"/>
        </w:rPr>
        <w:t xml:space="preserve"> %), opačná desetina měla naopak mzdy nad hranicí </w:t>
      </w:r>
      <w:r w:rsidR="00EB337C" w:rsidRPr="00EB337C">
        <w:rPr>
          <w:rFonts w:cs="Arial"/>
          <w:bCs/>
          <w:szCs w:val="20"/>
        </w:rPr>
        <w:t>70</w:t>
      </w:r>
      <w:r w:rsidRPr="00EB337C">
        <w:rPr>
          <w:rFonts w:cs="Arial"/>
          <w:bCs/>
          <w:szCs w:val="20"/>
        </w:rPr>
        <w:t> </w:t>
      </w:r>
      <w:r w:rsidR="00EB337C" w:rsidRPr="00EB337C">
        <w:rPr>
          <w:rFonts w:cs="Arial"/>
          <w:bCs/>
          <w:szCs w:val="20"/>
        </w:rPr>
        <w:t>514</w:t>
      </w:r>
      <w:r w:rsidR="00377710" w:rsidRPr="00EB337C">
        <w:rPr>
          <w:rFonts w:cs="Arial"/>
          <w:bCs/>
          <w:szCs w:val="20"/>
        </w:rPr>
        <w:t xml:space="preserve"> Kč (horní decil se zvýšil </w:t>
      </w:r>
      <w:r w:rsidRPr="00EB337C">
        <w:rPr>
          <w:rFonts w:cs="Arial"/>
          <w:bCs/>
          <w:szCs w:val="20"/>
        </w:rPr>
        <w:t>o </w:t>
      </w:r>
      <w:r w:rsidR="00EB337C" w:rsidRPr="00EB337C">
        <w:rPr>
          <w:rFonts w:cs="Arial"/>
          <w:bCs/>
          <w:szCs w:val="20"/>
        </w:rPr>
        <w:t>7,2</w:t>
      </w:r>
      <w:r w:rsidRPr="00EB337C">
        <w:rPr>
          <w:rFonts w:cs="Arial"/>
          <w:bCs/>
          <w:szCs w:val="20"/>
        </w:rPr>
        <w:t xml:space="preserve"> %). Decilový poměr </w:t>
      </w:r>
      <w:r w:rsidR="00377710" w:rsidRPr="00EB337C">
        <w:rPr>
          <w:rFonts w:cs="Arial"/>
          <w:bCs/>
          <w:szCs w:val="20"/>
        </w:rPr>
        <w:t>se meziročně snížil</w:t>
      </w:r>
      <w:r w:rsidRPr="00EB337C">
        <w:rPr>
          <w:rFonts w:cs="Arial"/>
          <w:bCs/>
          <w:szCs w:val="20"/>
        </w:rPr>
        <w:t xml:space="preserve"> o 0,</w:t>
      </w:r>
      <w:r w:rsidR="00EB337C" w:rsidRPr="00EB337C">
        <w:rPr>
          <w:rFonts w:cs="Arial"/>
          <w:bCs/>
          <w:szCs w:val="20"/>
        </w:rPr>
        <w:t>03</w:t>
      </w:r>
      <w:r w:rsidRPr="00EB337C">
        <w:rPr>
          <w:rFonts w:cs="Arial"/>
          <w:bCs/>
          <w:szCs w:val="20"/>
        </w:rPr>
        <w:t> bodu.</w:t>
      </w:r>
      <w:r w:rsidR="009628C8" w:rsidRPr="00EB337C">
        <w:rPr>
          <w:rFonts w:cs="Arial"/>
          <w:bCs/>
          <w:szCs w:val="20"/>
        </w:rPr>
        <w:t xml:space="preserve"> V tomto vývoji hrály </w:t>
      </w:r>
      <w:r w:rsidR="00EB337C" w:rsidRPr="00EB337C">
        <w:rPr>
          <w:rFonts w:cs="Arial"/>
          <w:bCs/>
          <w:szCs w:val="20"/>
        </w:rPr>
        <w:t>výlučnou</w:t>
      </w:r>
      <w:r w:rsidR="009628C8" w:rsidRPr="00EB337C">
        <w:rPr>
          <w:rFonts w:cs="Arial"/>
          <w:bCs/>
          <w:szCs w:val="20"/>
        </w:rPr>
        <w:t xml:space="preserve"> roli ženy, u mužů se distribuce n</w:t>
      </w:r>
      <w:r w:rsidR="00EB337C" w:rsidRPr="00EB337C">
        <w:rPr>
          <w:rFonts w:cs="Arial"/>
          <w:bCs/>
          <w:szCs w:val="20"/>
        </w:rPr>
        <w:t>aop</w:t>
      </w:r>
      <w:r w:rsidR="009628C8" w:rsidRPr="00EB337C">
        <w:rPr>
          <w:rFonts w:cs="Arial"/>
          <w:bCs/>
          <w:szCs w:val="20"/>
        </w:rPr>
        <w:t>a</w:t>
      </w:r>
      <w:r w:rsidR="00EB337C" w:rsidRPr="00EB337C">
        <w:rPr>
          <w:rFonts w:cs="Arial"/>
          <w:bCs/>
          <w:szCs w:val="20"/>
        </w:rPr>
        <w:t>k</w:t>
      </w:r>
      <w:r w:rsidR="009628C8" w:rsidRPr="00EB337C">
        <w:rPr>
          <w:rFonts w:cs="Arial"/>
          <w:bCs/>
          <w:szCs w:val="20"/>
        </w:rPr>
        <w:t xml:space="preserve"> </w:t>
      </w:r>
      <w:r w:rsidR="00EB337C" w:rsidRPr="00EB337C">
        <w:rPr>
          <w:rFonts w:cs="Arial"/>
          <w:bCs/>
          <w:szCs w:val="20"/>
        </w:rPr>
        <w:t>rozšířila</w:t>
      </w:r>
      <w:r w:rsidR="009628C8" w:rsidRPr="00EB337C">
        <w:rPr>
          <w:rFonts w:cs="Arial"/>
          <w:bCs/>
          <w:szCs w:val="20"/>
        </w:rPr>
        <w:t>.</w:t>
      </w:r>
    </w:p>
    <w:p w14:paraId="3DD062A0" w14:textId="77777777" w:rsidR="00A46E8F" w:rsidRPr="0039199A" w:rsidRDefault="00A46E8F" w:rsidP="00A46E8F">
      <w:pPr>
        <w:pStyle w:val="Zkladntextodsazen3"/>
        <w:spacing w:after="0" w:line="276" w:lineRule="auto"/>
        <w:ind w:firstLine="0"/>
        <w:rPr>
          <w:rFonts w:cs="Arial"/>
          <w:bCs/>
          <w:color w:val="E36C0A" w:themeColor="accent6" w:themeShade="BF"/>
          <w:szCs w:val="20"/>
        </w:rPr>
      </w:pPr>
      <w:r w:rsidRPr="00125FFD">
        <w:rPr>
          <w:rFonts w:cs="Arial"/>
          <w:bCs/>
          <w:szCs w:val="20"/>
        </w:rPr>
        <w:lastRenderedPageBreak/>
        <w:t xml:space="preserve">Prostřední mzdy mužů byly stále </w:t>
      </w:r>
      <w:r w:rsidR="009628C8" w:rsidRPr="00125FFD">
        <w:rPr>
          <w:rFonts w:cs="Arial"/>
          <w:bCs/>
          <w:szCs w:val="20"/>
        </w:rPr>
        <w:t xml:space="preserve">výrazně </w:t>
      </w:r>
      <w:r w:rsidRPr="00125FFD">
        <w:rPr>
          <w:rFonts w:cs="Arial"/>
          <w:bCs/>
          <w:szCs w:val="20"/>
        </w:rPr>
        <w:t>vyšší než u žen, ve </w:t>
      </w:r>
      <w:r w:rsidR="0039199A" w:rsidRPr="00125FFD">
        <w:rPr>
          <w:rFonts w:cs="Arial"/>
          <w:bCs/>
          <w:szCs w:val="20"/>
        </w:rPr>
        <w:t>4</w:t>
      </w:r>
      <w:r w:rsidRPr="00125FFD">
        <w:rPr>
          <w:rFonts w:cs="Arial"/>
          <w:bCs/>
          <w:szCs w:val="20"/>
        </w:rPr>
        <w:t>. čtvrtletí 202</w:t>
      </w:r>
      <w:r w:rsidR="00B171F8" w:rsidRPr="00125FFD">
        <w:rPr>
          <w:rFonts w:cs="Arial"/>
          <w:bCs/>
          <w:szCs w:val="20"/>
        </w:rPr>
        <w:t>2</w:t>
      </w:r>
      <w:r w:rsidRPr="00125FFD">
        <w:rPr>
          <w:rFonts w:cs="Arial"/>
          <w:bCs/>
          <w:szCs w:val="20"/>
        </w:rPr>
        <w:t xml:space="preserve"> byla mediánová mzda žen 3</w:t>
      </w:r>
      <w:r w:rsidR="00EB337C" w:rsidRPr="00125FFD">
        <w:rPr>
          <w:rFonts w:cs="Arial"/>
          <w:bCs/>
          <w:szCs w:val="20"/>
        </w:rPr>
        <w:t>4</w:t>
      </w:r>
      <w:r w:rsidRPr="00125FFD">
        <w:rPr>
          <w:rFonts w:cs="Arial"/>
          <w:bCs/>
          <w:szCs w:val="20"/>
        </w:rPr>
        <w:t> </w:t>
      </w:r>
      <w:r w:rsidR="00EB337C" w:rsidRPr="00125FFD">
        <w:rPr>
          <w:rFonts w:cs="Arial"/>
          <w:bCs/>
          <w:szCs w:val="20"/>
        </w:rPr>
        <w:t>554</w:t>
      </w:r>
      <w:r w:rsidRPr="00125FFD">
        <w:rPr>
          <w:rFonts w:cs="Arial"/>
          <w:bCs/>
          <w:szCs w:val="20"/>
        </w:rPr>
        <w:t> </w:t>
      </w:r>
      <w:r w:rsidR="009628C8" w:rsidRPr="00125FFD">
        <w:rPr>
          <w:rFonts w:cs="Arial"/>
          <w:bCs/>
          <w:szCs w:val="20"/>
        </w:rPr>
        <w:t xml:space="preserve">Kč, zatímco u mužů </w:t>
      </w:r>
      <w:r w:rsidR="00EB337C" w:rsidRPr="00125FFD">
        <w:rPr>
          <w:rFonts w:cs="Arial"/>
          <w:bCs/>
          <w:szCs w:val="20"/>
        </w:rPr>
        <w:t>40</w:t>
      </w:r>
      <w:r w:rsidRPr="00125FFD">
        <w:rPr>
          <w:rFonts w:cs="Arial"/>
          <w:bCs/>
          <w:szCs w:val="20"/>
        </w:rPr>
        <w:t> </w:t>
      </w:r>
      <w:r w:rsidR="00EB337C" w:rsidRPr="00125FFD">
        <w:rPr>
          <w:rFonts w:cs="Arial"/>
          <w:bCs/>
          <w:szCs w:val="20"/>
        </w:rPr>
        <w:t>232</w:t>
      </w:r>
      <w:r w:rsidRPr="00125FFD">
        <w:rPr>
          <w:rFonts w:cs="Arial"/>
          <w:bCs/>
          <w:szCs w:val="20"/>
        </w:rPr>
        <w:t> Kč. Mezera v pros</w:t>
      </w:r>
      <w:r w:rsidR="009628C8" w:rsidRPr="00125FFD">
        <w:rPr>
          <w:rFonts w:cs="Arial"/>
          <w:bCs/>
          <w:szCs w:val="20"/>
        </w:rPr>
        <w:t>tředních výdělcích tak činila 1</w:t>
      </w:r>
      <w:r w:rsidR="00125FFD" w:rsidRPr="00125FFD">
        <w:rPr>
          <w:rFonts w:cs="Arial"/>
          <w:bCs/>
          <w:szCs w:val="20"/>
        </w:rPr>
        <w:t>4</w:t>
      </w:r>
      <w:r w:rsidRPr="00125FFD">
        <w:rPr>
          <w:rFonts w:cs="Arial"/>
          <w:bCs/>
          <w:szCs w:val="20"/>
        </w:rPr>
        <w:t>,</w:t>
      </w:r>
      <w:r w:rsidR="00125FFD" w:rsidRPr="00125FFD">
        <w:rPr>
          <w:rFonts w:cs="Arial"/>
          <w:bCs/>
          <w:szCs w:val="20"/>
        </w:rPr>
        <w:t>1</w:t>
      </w:r>
      <w:r w:rsidRPr="00125FFD">
        <w:rPr>
          <w:rFonts w:cs="Arial"/>
          <w:bCs/>
          <w:szCs w:val="20"/>
        </w:rPr>
        <w:t> %.</w:t>
      </w:r>
    </w:p>
    <w:p w14:paraId="7E645F20" w14:textId="77777777" w:rsidR="00A46E8F" w:rsidRPr="0039199A" w:rsidRDefault="00A46E8F" w:rsidP="00A46E8F">
      <w:pPr>
        <w:pStyle w:val="Zkladntextodsazen3"/>
        <w:spacing w:after="0" w:line="276" w:lineRule="auto"/>
        <w:ind w:firstLine="0"/>
        <w:rPr>
          <w:rFonts w:cs="Arial"/>
          <w:bCs/>
          <w:color w:val="E36C0A" w:themeColor="accent6" w:themeShade="BF"/>
          <w:szCs w:val="20"/>
        </w:rPr>
      </w:pPr>
      <w:r w:rsidRPr="0039199A">
        <w:rPr>
          <w:rFonts w:cs="Arial"/>
          <w:bCs/>
          <w:szCs w:val="20"/>
        </w:rPr>
        <w:t xml:space="preserve">Zároveň byly mzdy mužů rozprostřené v podstatně větší šíři, zejména oblast vysokých výdělků je výrazněji vyšší než u žen, </w:t>
      </w:r>
      <w:r w:rsidR="009628C8" w:rsidRPr="0039199A">
        <w:rPr>
          <w:rFonts w:cs="Arial"/>
          <w:bCs/>
          <w:szCs w:val="20"/>
        </w:rPr>
        <w:t>k čemuž poslední vývoj ještě dopomohl. N</w:t>
      </w:r>
      <w:r w:rsidRPr="00125FFD">
        <w:rPr>
          <w:rFonts w:cs="Arial"/>
          <w:bCs/>
          <w:szCs w:val="20"/>
        </w:rPr>
        <w:t xml:space="preserve">a horním decilu se ženské výdělky aktuálně </w:t>
      </w:r>
      <w:r w:rsidR="00125FFD" w:rsidRPr="00125FFD">
        <w:rPr>
          <w:rFonts w:cs="Arial"/>
          <w:bCs/>
          <w:szCs w:val="20"/>
        </w:rPr>
        <w:t>zvýš</w:t>
      </w:r>
      <w:r w:rsidR="009628C8" w:rsidRPr="00125FFD">
        <w:rPr>
          <w:rFonts w:cs="Arial"/>
          <w:bCs/>
          <w:szCs w:val="20"/>
        </w:rPr>
        <w:t>ily o </w:t>
      </w:r>
      <w:r w:rsidR="00125FFD" w:rsidRPr="00125FFD">
        <w:rPr>
          <w:rFonts w:cs="Arial"/>
          <w:bCs/>
          <w:szCs w:val="20"/>
        </w:rPr>
        <w:t>4,4 %, zatímco u mužů vzrostly o 9,6</w:t>
      </w:r>
      <w:r w:rsidR="009628C8" w:rsidRPr="00125FFD">
        <w:rPr>
          <w:rFonts w:cs="Arial"/>
          <w:bCs/>
          <w:szCs w:val="20"/>
        </w:rPr>
        <w:t> %.</w:t>
      </w:r>
      <w:r w:rsidRPr="00125FFD">
        <w:rPr>
          <w:rFonts w:cs="Arial"/>
          <w:bCs/>
          <w:szCs w:val="20"/>
        </w:rPr>
        <w:t xml:space="preserve"> </w:t>
      </w:r>
      <w:r w:rsidR="009628C8" w:rsidRPr="0039199A">
        <w:rPr>
          <w:rFonts w:cs="Arial"/>
          <w:bCs/>
          <w:szCs w:val="20"/>
        </w:rPr>
        <w:t>Ž</w:t>
      </w:r>
      <w:r w:rsidRPr="0039199A">
        <w:rPr>
          <w:rFonts w:cs="Arial"/>
          <w:bCs/>
          <w:szCs w:val="20"/>
        </w:rPr>
        <w:t xml:space="preserve">eny </w:t>
      </w:r>
      <w:r w:rsidR="009628C8" w:rsidRPr="0039199A">
        <w:rPr>
          <w:rFonts w:cs="Arial"/>
          <w:bCs/>
          <w:szCs w:val="20"/>
        </w:rPr>
        <w:t xml:space="preserve">tak </w:t>
      </w:r>
      <w:r w:rsidRPr="0039199A">
        <w:rPr>
          <w:rFonts w:cs="Arial"/>
          <w:bCs/>
          <w:szCs w:val="20"/>
        </w:rPr>
        <w:t xml:space="preserve">měly horní decil </w:t>
      </w:r>
      <w:r w:rsidR="009628C8" w:rsidRPr="00125FFD">
        <w:rPr>
          <w:rFonts w:cs="Arial"/>
          <w:bCs/>
          <w:szCs w:val="20"/>
        </w:rPr>
        <w:t>6</w:t>
      </w:r>
      <w:r w:rsidR="00125FFD" w:rsidRPr="00125FFD">
        <w:rPr>
          <w:rFonts w:cs="Arial"/>
          <w:bCs/>
          <w:szCs w:val="20"/>
        </w:rPr>
        <w:t>2</w:t>
      </w:r>
      <w:r w:rsidRPr="00125FFD">
        <w:rPr>
          <w:rFonts w:cs="Arial"/>
          <w:bCs/>
          <w:szCs w:val="20"/>
        </w:rPr>
        <w:t> </w:t>
      </w:r>
      <w:r w:rsidR="00125FFD" w:rsidRPr="00125FFD">
        <w:rPr>
          <w:rFonts w:cs="Arial"/>
          <w:bCs/>
          <w:szCs w:val="20"/>
        </w:rPr>
        <w:t>986</w:t>
      </w:r>
      <w:r w:rsidRPr="00125FFD">
        <w:rPr>
          <w:rFonts w:cs="Arial"/>
          <w:bCs/>
          <w:szCs w:val="20"/>
        </w:rPr>
        <w:t xml:space="preserve"> Kč a muži </w:t>
      </w:r>
      <w:r w:rsidR="009628C8" w:rsidRPr="00125FFD">
        <w:rPr>
          <w:rFonts w:cs="Arial"/>
          <w:bCs/>
          <w:szCs w:val="20"/>
        </w:rPr>
        <w:t>7</w:t>
      </w:r>
      <w:r w:rsidR="00125FFD" w:rsidRPr="00125FFD">
        <w:rPr>
          <w:rFonts w:cs="Arial"/>
          <w:bCs/>
          <w:szCs w:val="20"/>
        </w:rPr>
        <w:t>8</w:t>
      </w:r>
      <w:r w:rsidRPr="00125FFD">
        <w:rPr>
          <w:rFonts w:cs="Arial"/>
          <w:bCs/>
          <w:szCs w:val="20"/>
        </w:rPr>
        <w:t> </w:t>
      </w:r>
      <w:r w:rsidR="00125FFD" w:rsidRPr="00125FFD">
        <w:rPr>
          <w:rFonts w:cs="Arial"/>
          <w:bCs/>
          <w:szCs w:val="20"/>
        </w:rPr>
        <w:t>190</w:t>
      </w:r>
      <w:r w:rsidRPr="00125FFD">
        <w:rPr>
          <w:rFonts w:cs="Arial"/>
          <w:bCs/>
          <w:szCs w:val="20"/>
        </w:rPr>
        <w:t xml:space="preserve"> Kč, čímž byla mezera u vysokých výdělků </w:t>
      </w:r>
      <w:r w:rsidR="00125FFD" w:rsidRPr="00125FFD">
        <w:rPr>
          <w:rFonts w:cs="Arial"/>
          <w:bCs/>
          <w:szCs w:val="20"/>
        </w:rPr>
        <w:t>19,4</w:t>
      </w:r>
      <w:r w:rsidRPr="00125FFD">
        <w:rPr>
          <w:rFonts w:cs="Arial"/>
          <w:bCs/>
          <w:szCs w:val="20"/>
        </w:rPr>
        <w:t xml:space="preserve"> %. U nízkých výdělků </w:t>
      </w:r>
      <w:r w:rsidR="006F21D4" w:rsidRPr="00125FFD">
        <w:rPr>
          <w:rFonts w:cs="Arial"/>
          <w:bCs/>
          <w:szCs w:val="20"/>
        </w:rPr>
        <w:t>je rozdíl tradičně nižší</w:t>
      </w:r>
      <w:r w:rsidRPr="00125FFD">
        <w:rPr>
          <w:rFonts w:cs="Arial"/>
          <w:bCs/>
          <w:szCs w:val="20"/>
        </w:rPr>
        <w:t>: žen</w:t>
      </w:r>
      <w:r w:rsidR="006F21D4" w:rsidRPr="00125FFD">
        <w:rPr>
          <w:rFonts w:cs="Arial"/>
          <w:bCs/>
          <w:szCs w:val="20"/>
        </w:rPr>
        <w:t>ám</w:t>
      </w:r>
      <w:r w:rsidRPr="00125FFD">
        <w:rPr>
          <w:rFonts w:cs="Arial"/>
          <w:bCs/>
          <w:szCs w:val="20"/>
        </w:rPr>
        <w:t xml:space="preserve"> </w:t>
      </w:r>
      <w:r w:rsidR="006F21D4" w:rsidRPr="00125FFD">
        <w:rPr>
          <w:rFonts w:cs="Arial"/>
          <w:bCs/>
          <w:szCs w:val="20"/>
        </w:rPr>
        <w:t xml:space="preserve">aktuálně vzrostl dolní </w:t>
      </w:r>
      <w:r w:rsidRPr="00125FFD">
        <w:rPr>
          <w:rFonts w:cs="Arial"/>
          <w:bCs/>
          <w:szCs w:val="20"/>
        </w:rPr>
        <w:t>decil</w:t>
      </w:r>
      <w:r w:rsidR="006F21D4" w:rsidRPr="00125FFD">
        <w:rPr>
          <w:rFonts w:cs="Arial"/>
          <w:bCs/>
          <w:szCs w:val="20"/>
        </w:rPr>
        <w:t xml:space="preserve"> o </w:t>
      </w:r>
      <w:r w:rsidR="00125FFD" w:rsidRPr="00125FFD">
        <w:rPr>
          <w:rFonts w:cs="Arial"/>
          <w:bCs/>
          <w:szCs w:val="20"/>
        </w:rPr>
        <w:t>8,</w:t>
      </w:r>
      <w:r w:rsidR="00125FFD">
        <w:rPr>
          <w:rFonts w:cs="Arial"/>
          <w:bCs/>
          <w:szCs w:val="20"/>
        </w:rPr>
        <w:t>5</w:t>
      </w:r>
      <w:r w:rsidR="006F21D4" w:rsidRPr="00125FFD">
        <w:rPr>
          <w:rFonts w:cs="Arial"/>
          <w:bCs/>
          <w:szCs w:val="20"/>
        </w:rPr>
        <w:t xml:space="preserve"> % na </w:t>
      </w:r>
      <w:r w:rsidRPr="00125FFD">
        <w:rPr>
          <w:rFonts w:cs="Arial"/>
          <w:bCs/>
          <w:szCs w:val="20"/>
        </w:rPr>
        <w:t>1</w:t>
      </w:r>
      <w:r w:rsidR="00125FFD" w:rsidRPr="00125FFD">
        <w:rPr>
          <w:rFonts w:cs="Arial"/>
          <w:bCs/>
          <w:szCs w:val="20"/>
        </w:rPr>
        <w:t>7</w:t>
      </w:r>
      <w:r w:rsidRPr="00125FFD">
        <w:rPr>
          <w:rFonts w:cs="Arial"/>
          <w:bCs/>
          <w:szCs w:val="20"/>
        </w:rPr>
        <w:t> </w:t>
      </w:r>
      <w:r w:rsidR="00125FFD" w:rsidRPr="00125FFD">
        <w:rPr>
          <w:rFonts w:cs="Arial"/>
          <w:bCs/>
          <w:szCs w:val="20"/>
        </w:rPr>
        <w:t>817</w:t>
      </w:r>
      <w:r w:rsidRPr="00125FFD">
        <w:rPr>
          <w:rFonts w:cs="Arial"/>
          <w:bCs/>
          <w:szCs w:val="20"/>
        </w:rPr>
        <w:t> Kč, muž</w:t>
      </w:r>
      <w:r w:rsidR="006F21D4" w:rsidRPr="00125FFD">
        <w:rPr>
          <w:rFonts w:cs="Arial"/>
          <w:bCs/>
          <w:szCs w:val="20"/>
        </w:rPr>
        <w:t>ům pak o </w:t>
      </w:r>
      <w:r w:rsidR="00125FFD" w:rsidRPr="00125FFD">
        <w:rPr>
          <w:rFonts w:cs="Arial"/>
          <w:bCs/>
          <w:szCs w:val="20"/>
        </w:rPr>
        <w:t>6,5</w:t>
      </w:r>
      <w:r w:rsidR="006F21D4" w:rsidRPr="00125FFD">
        <w:rPr>
          <w:rFonts w:cs="Arial"/>
          <w:bCs/>
          <w:szCs w:val="20"/>
        </w:rPr>
        <w:t> % na</w:t>
      </w:r>
      <w:r w:rsidRPr="00125FFD">
        <w:rPr>
          <w:rFonts w:cs="Arial"/>
          <w:bCs/>
          <w:szCs w:val="20"/>
        </w:rPr>
        <w:t xml:space="preserve"> 1</w:t>
      </w:r>
      <w:r w:rsidR="00125FFD" w:rsidRPr="00125FFD">
        <w:rPr>
          <w:rFonts w:cs="Arial"/>
          <w:bCs/>
          <w:szCs w:val="20"/>
        </w:rPr>
        <w:t>9</w:t>
      </w:r>
      <w:r w:rsidRPr="00125FFD">
        <w:rPr>
          <w:rFonts w:cs="Arial"/>
          <w:bCs/>
          <w:szCs w:val="20"/>
        </w:rPr>
        <w:t> </w:t>
      </w:r>
      <w:r w:rsidR="00125FFD" w:rsidRPr="00125FFD">
        <w:rPr>
          <w:rFonts w:cs="Arial"/>
          <w:bCs/>
          <w:szCs w:val="20"/>
        </w:rPr>
        <w:t>463</w:t>
      </w:r>
      <w:r w:rsidRPr="00125FFD">
        <w:rPr>
          <w:rFonts w:cs="Arial"/>
          <w:bCs/>
          <w:szCs w:val="20"/>
        </w:rPr>
        <w:t xml:space="preserve"> Kč, což </w:t>
      </w:r>
      <w:r w:rsidR="006F21D4" w:rsidRPr="00125FFD">
        <w:rPr>
          <w:rFonts w:cs="Arial"/>
          <w:bCs/>
          <w:szCs w:val="20"/>
        </w:rPr>
        <w:t xml:space="preserve">ve výsledku </w:t>
      </w:r>
      <w:r w:rsidRPr="00125FFD">
        <w:rPr>
          <w:rFonts w:cs="Arial"/>
          <w:bCs/>
          <w:szCs w:val="20"/>
        </w:rPr>
        <w:t xml:space="preserve">představuje </w:t>
      </w:r>
      <w:r w:rsidR="00125FFD" w:rsidRPr="00125FFD">
        <w:rPr>
          <w:rFonts w:cs="Arial"/>
          <w:bCs/>
          <w:szCs w:val="20"/>
        </w:rPr>
        <w:t>mezeru 8,5</w:t>
      </w:r>
      <w:r w:rsidRPr="00125FFD">
        <w:rPr>
          <w:rFonts w:cs="Arial"/>
          <w:bCs/>
          <w:szCs w:val="20"/>
        </w:rPr>
        <w:t> %.</w:t>
      </w:r>
    </w:p>
    <w:p w14:paraId="6BA24802" w14:textId="77777777" w:rsidR="006F21D4" w:rsidRPr="00125FFD" w:rsidRDefault="006F21D4" w:rsidP="00A46E8F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4BB15875" w14:textId="77777777" w:rsidR="00A46E8F" w:rsidRPr="00125FFD" w:rsidRDefault="00A46E8F" w:rsidP="00A46E8F">
      <w:pPr>
        <w:pStyle w:val="Zkladntextodsazen3"/>
        <w:spacing w:after="0" w:line="276" w:lineRule="auto"/>
        <w:ind w:left="720" w:firstLine="0"/>
        <w:jc w:val="center"/>
        <w:rPr>
          <w:rFonts w:cs="Arial"/>
          <w:bCs/>
          <w:szCs w:val="20"/>
        </w:rPr>
      </w:pPr>
      <w:r w:rsidRPr="00125FFD">
        <w:rPr>
          <w:rFonts w:cs="Arial"/>
          <w:bCs/>
          <w:szCs w:val="20"/>
        </w:rPr>
        <w:t>* * *</w:t>
      </w:r>
    </w:p>
    <w:p w14:paraId="6D9B5159" w14:textId="77777777" w:rsidR="00A46E8F" w:rsidRPr="0039199A" w:rsidRDefault="00A46E8F" w:rsidP="00A46E8F">
      <w:pPr>
        <w:pStyle w:val="Zkladntextodsazen3"/>
        <w:spacing w:after="0" w:line="276" w:lineRule="auto"/>
        <w:ind w:left="720" w:firstLine="0"/>
        <w:rPr>
          <w:rFonts w:cs="Arial"/>
          <w:bCs/>
          <w:color w:val="E36C0A" w:themeColor="accent6" w:themeShade="BF"/>
          <w:szCs w:val="20"/>
        </w:rPr>
      </w:pPr>
    </w:p>
    <w:p w14:paraId="7A8CC328" w14:textId="77777777" w:rsidR="00A46E8F" w:rsidRDefault="00A46E8F" w:rsidP="00A46E8F">
      <w:pPr>
        <w:rPr>
          <w:rFonts w:cs="Arial"/>
        </w:rPr>
      </w:pPr>
      <w:r w:rsidRPr="00D004BA">
        <w:rPr>
          <w:rFonts w:cs="Arial"/>
        </w:rPr>
        <w:t xml:space="preserve">Předběžné výsledky </w:t>
      </w:r>
      <w:r w:rsidRPr="00D004BA">
        <w:rPr>
          <w:rFonts w:cs="Arial"/>
          <w:b/>
        </w:rPr>
        <w:t xml:space="preserve">Informačního systému o průměrném </w:t>
      </w:r>
      <w:r w:rsidRPr="009F1542">
        <w:rPr>
          <w:rFonts w:cs="Arial"/>
          <w:b/>
        </w:rPr>
        <w:t xml:space="preserve">výdělku (ISPV) za </w:t>
      </w:r>
      <w:r w:rsidR="009F1542" w:rsidRPr="009F1542">
        <w:rPr>
          <w:rFonts w:cs="Arial"/>
          <w:b/>
        </w:rPr>
        <w:t xml:space="preserve">celý </w:t>
      </w:r>
      <w:r w:rsidR="0039199A" w:rsidRPr="009F1542">
        <w:rPr>
          <w:rFonts w:cs="Arial"/>
          <w:b/>
        </w:rPr>
        <w:t>rok</w:t>
      </w:r>
      <w:r w:rsidRPr="009F1542">
        <w:rPr>
          <w:rFonts w:cs="Arial"/>
          <w:b/>
        </w:rPr>
        <w:t xml:space="preserve"> 202</w:t>
      </w:r>
      <w:r w:rsidR="00253201" w:rsidRPr="009F1542">
        <w:rPr>
          <w:rFonts w:cs="Arial"/>
          <w:b/>
        </w:rPr>
        <w:t>2</w:t>
      </w:r>
      <w:r w:rsidRPr="009F1542">
        <w:rPr>
          <w:rFonts w:cs="Arial"/>
        </w:rPr>
        <w:t xml:space="preserve"> </w:t>
      </w:r>
      <w:r w:rsidRPr="00125FFD">
        <w:rPr>
          <w:rFonts w:cs="Arial"/>
        </w:rPr>
        <w:t>přináší</w:t>
      </w:r>
      <w:r w:rsidRPr="00D004BA">
        <w:rPr>
          <w:rFonts w:cs="Arial"/>
        </w:rPr>
        <w:t xml:space="preserve"> podrobnější vhled do mzdových struktur, distribucí a socioekonomických třídění. ISPV však používá odlišnou metodiku výpočtu osobního výdělku zaměstnance (především vylučuje veškeré absence), a tyto údaje proto nejsou porovnatelné s výše uvedenými hodnotami mezd ani s čísly v tabulkách k Rychlé informaci ČSÚ.</w:t>
      </w:r>
    </w:p>
    <w:p w14:paraId="0527D13E" w14:textId="77777777" w:rsidR="009F1542" w:rsidRPr="00824223" w:rsidRDefault="009F1542" w:rsidP="009F1542">
      <w:pPr>
        <w:pStyle w:val="Zkladntextodsazen3"/>
        <w:spacing w:after="0" w:line="276" w:lineRule="auto"/>
        <w:ind w:firstLine="0"/>
        <w:rPr>
          <w:rFonts w:cs="Arial"/>
        </w:rPr>
      </w:pPr>
      <w:r w:rsidRPr="009F1542">
        <w:rPr>
          <w:rFonts w:cs="Arial"/>
        </w:rPr>
        <w:t xml:space="preserve">ISPV sleduje zaměstnance i podle </w:t>
      </w:r>
      <w:r w:rsidRPr="009F1542">
        <w:rPr>
          <w:rFonts w:cs="Arial"/>
          <w:b/>
        </w:rPr>
        <w:t>státního občanství</w:t>
      </w:r>
      <w:r w:rsidRPr="009F1542">
        <w:rPr>
          <w:rFonts w:cs="Arial"/>
        </w:rPr>
        <w:t>, což bylo pro loňský rok zvláště důležité. P</w:t>
      </w:r>
      <w:r w:rsidR="003B5241">
        <w:rPr>
          <w:rFonts w:cs="Arial"/>
        </w:rPr>
        <w:t>růměrný počet</w:t>
      </w:r>
      <w:r w:rsidRPr="009F1542">
        <w:rPr>
          <w:rFonts w:cs="Arial"/>
        </w:rPr>
        <w:t xml:space="preserve"> z</w:t>
      </w:r>
      <w:r w:rsidR="003B5241">
        <w:rPr>
          <w:rFonts w:cs="Arial"/>
        </w:rPr>
        <w:t>aměstnanc</w:t>
      </w:r>
      <w:r w:rsidRPr="009F1542">
        <w:rPr>
          <w:rFonts w:cs="Arial"/>
        </w:rPr>
        <w:t>ů s ukrajinským občanstvím v tomto výběrovém šetření se po dopočtech meziročně zvýšil o 44</w:t>
      </w:r>
      <w:r w:rsidR="003B5241">
        <w:rPr>
          <w:rFonts w:cs="Arial"/>
        </w:rPr>
        <w:t>,4</w:t>
      </w:r>
      <w:r w:rsidRPr="009F1542">
        <w:rPr>
          <w:rFonts w:cs="Arial"/>
        </w:rPr>
        <w:t xml:space="preserve"> %, z 68,4 tis. na 98,7 tis., čímž tato </w:t>
      </w:r>
      <w:r w:rsidR="003B5241">
        <w:rPr>
          <w:rFonts w:cs="Arial"/>
        </w:rPr>
        <w:t>skupin</w:t>
      </w:r>
      <w:r w:rsidRPr="009F1542">
        <w:rPr>
          <w:rFonts w:cs="Arial"/>
        </w:rPr>
        <w:t xml:space="preserve">a </w:t>
      </w:r>
      <w:r w:rsidR="003B5241">
        <w:rPr>
          <w:rFonts w:cs="Arial"/>
        </w:rPr>
        <w:t xml:space="preserve">značně </w:t>
      </w:r>
      <w:r w:rsidRPr="009F1542">
        <w:rPr>
          <w:rFonts w:cs="Arial"/>
        </w:rPr>
        <w:t>překonala Slováky (73,1 tis.).</w:t>
      </w:r>
      <w:r>
        <w:rPr>
          <w:rFonts w:cs="Arial"/>
        </w:rPr>
        <w:t xml:space="preserve"> Prostřední mzdy Ukrajinců byly vždy </w:t>
      </w:r>
      <w:r w:rsidR="003B5241">
        <w:rPr>
          <w:rFonts w:cs="Arial"/>
        </w:rPr>
        <w:t>velice</w:t>
      </w:r>
      <w:r>
        <w:rPr>
          <w:rFonts w:cs="Arial"/>
        </w:rPr>
        <w:t xml:space="preserve"> nízké, nejmenší </w:t>
      </w:r>
      <w:r w:rsidRPr="009F1542">
        <w:rPr>
          <w:rFonts w:cs="Arial"/>
        </w:rPr>
        <w:t>z velkých cizineckých skupin v Č</w:t>
      </w:r>
      <w:r>
        <w:rPr>
          <w:rFonts w:cs="Arial"/>
        </w:rPr>
        <w:t xml:space="preserve">R. </w:t>
      </w:r>
      <w:r w:rsidR="00824223">
        <w:rPr>
          <w:rFonts w:cs="Arial"/>
        </w:rPr>
        <w:t>V roce 2022 dosáhla jen 28 415 Kč, tříčtvrtinové úrovně mezd českých občanů,</w:t>
      </w:r>
      <w:r w:rsidR="003B5241">
        <w:rPr>
          <w:rFonts w:cs="Arial"/>
        </w:rPr>
        <w:t xml:space="preserve"> a </w:t>
      </w:r>
      <w:r w:rsidR="00824223">
        <w:rPr>
          <w:rFonts w:cs="Arial"/>
        </w:rPr>
        <w:t>byly také meziročně vyšší po</w:t>
      </w:r>
      <w:r w:rsidR="003B5241">
        <w:rPr>
          <w:rFonts w:cs="Arial"/>
        </w:rPr>
        <w:t>uze o </w:t>
      </w:r>
      <w:r w:rsidR="00824223">
        <w:rPr>
          <w:rFonts w:cs="Arial"/>
        </w:rPr>
        <w:t>3,3 %, zatímco mediánová mzda českých občanů (37 690 Kč) se zvýšila o 6,6 %.</w:t>
      </w:r>
    </w:p>
    <w:p w14:paraId="6392E6CD" w14:textId="77777777" w:rsidR="009F1542" w:rsidRPr="0039199A" w:rsidRDefault="00824223" w:rsidP="009F1542">
      <w:pPr>
        <w:pStyle w:val="Zkladntextodsazen3"/>
        <w:spacing w:after="0" w:line="276" w:lineRule="auto"/>
        <w:ind w:firstLine="0"/>
        <w:rPr>
          <w:bCs/>
          <w:color w:val="E36C0A" w:themeColor="accent6" w:themeShade="BF"/>
          <w:szCs w:val="18"/>
        </w:rPr>
      </w:pPr>
      <w:r w:rsidRPr="00824223">
        <w:rPr>
          <w:rFonts w:cs="Arial"/>
        </w:rPr>
        <w:t xml:space="preserve">Velmi vysoké </w:t>
      </w:r>
      <w:r w:rsidR="009F1542" w:rsidRPr="00824223">
        <w:rPr>
          <w:rFonts w:cs="Arial"/>
        </w:rPr>
        <w:t xml:space="preserve">mediánové mzdy </w:t>
      </w:r>
      <w:r w:rsidRPr="00824223">
        <w:rPr>
          <w:rFonts w:cs="Arial"/>
        </w:rPr>
        <w:t xml:space="preserve">měli </w:t>
      </w:r>
      <w:r w:rsidR="009F1542" w:rsidRPr="00824223">
        <w:rPr>
          <w:rFonts w:cs="Arial"/>
        </w:rPr>
        <w:t xml:space="preserve">v Česku </w:t>
      </w:r>
      <w:r w:rsidRPr="00824223">
        <w:rPr>
          <w:rFonts w:cs="Arial"/>
        </w:rPr>
        <w:t xml:space="preserve">tradičně </w:t>
      </w:r>
      <w:r w:rsidR="009F1542" w:rsidRPr="00824223">
        <w:rPr>
          <w:rFonts w:cs="Arial"/>
        </w:rPr>
        <w:t xml:space="preserve">Slováci </w:t>
      </w:r>
      <w:r w:rsidRPr="00824223">
        <w:rPr>
          <w:rFonts w:cs="Arial"/>
        </w:rPr>
        <w:t>(41</w:t>
      </w:r>
      <w:r w:rsidR="009F1542" w:rsidRPr="00824223">
        <w:rPr>
          <w:rFonts w:cs="Arial"/>
        </w:rPr>
        <w:t> </w:t>
      </w:r>
      <w:r w:rsidRPr="00824223">
        <w:rPr>
          <w:rFonts w:cs="Arial"/>
        </w:rPr>
        <w:t>599 Kč) a</w:t>
      </w:r>
      <w:r w:rsidR="009F1542" w:rsidRPr="00824223">
        <w:rPr>
          <w:rFonts w:cs="Arial"/>
        </w:rPr>
        <w:t xml:space="preserve"> byly </w:t>
      </w:r>
      <w:r w:rsidRPr="00824223">
        <w:rPr>
          <w:rFonts w:cs="Arial"/>
        </w:rPr>
        <w:t xml:space="preserve">meziročně vyšší </w:t>
      </w:r>
      <w:r w:rsidR="009F1542" w:rsidRPr="00824223">
        <w:rPr>
          <w:rFonts w:cs="Arial"/>
        </w:rPr>
        <w:t>o</w:t>
      </w:r>
      <w:r w:rsidRPr="00824223">
        <w:rPr>
          <w:rFonts w:cs="Arial"/>
        </w:rPr>
        <w:t> 7,9</w:t>
      </w:r>
      <w:r w:rsidR="009F1542" w:rsidRPr="00824223">
        <w:rPr>
          <w:rFonts w:cs="Arial"/>
        </w:rPr>
        <w:t> %</w:t>
      </w:r>
      <w:r w:rsidRPr="00824223">
        <w:rPr>
          <w:rFonts w:cs="Arial"/>
        </w:rPr>
        <w:t>.</w:t>
      </w:r>
      <w:r w:rsidR="009F1542" w:rsidRPr="00824223">
        <w:rPr>
          <w:rFonts w:cs="Arial"/>
        </w:rPr>
        <w:t xml:space="preserve"> Podstatně nižší než české byly také mzdové úrovně u dalších tří menších </w:t>
      </w:r>
      <w:r w:rsidR="00EA712F">
        <w:rPr>
          <w:rFonts w:cs="Arial"/>
        </w:rPr>
        <w:t xml:space="preserve">cizineckých </w:t>
      </w:r>
      <w:r w:rsidR="009F1542" w:rsidRPr="00824223">
        <w:rPr>
          <w:rFonts w:cs="Arial"/>
        </w:rPr>
        <w:t>skupin, tedy Bulharů (</w:t>
      </w:r>
      <w:r w:rsidRPr="00824223">
        <w:rPr>
          <w:rFonts w:cs="Arial"/>
        </w:rPr>
        <w:t>31 575 Kč</w:t>
      </w:r>
      <w:r w:rsidR="009F1542" w:rsidRPr="00824223">
        <w:rPr>
          <w:rFonts w:cs="Arial"/>
        </w:rPr>
        <w:t>), Rumunů (</w:t>
      </w:r>
      <w:r w:rsidRPr="00824223">
        <w:rPr>
          <w:rFonts w:cs="Arial"/>
        </w:rPr>
        <w:t>31 629 Kč</w:t>
      </w:r>
      <w:r w:rsidR="009F1542" w:rsidRPr="00824223">
        <w:rPr>
          <w:rFonts w:cs="Arial"/>
        </w:rPr>
        <w:t>) a Poláků (</w:t>
      </w:r>
      <w:r w:rsidRPr="00824223">
        <w:rPr>
          <w:rFonts w:cs="Arial"/>
        </w:rPr>
        <w:t>34 791 Kč</w:t>
      </w:r>
      <w:r w:rsidR="009F1542" w:rsidRPr="00824223">
        <w:rPr>
          <w:rFonts w:cs="Arial"/>
        </w:rPr>
        <w:t xml:space="preserve">). Zatímco počet záznamů Rumunů a Bulharů se v databázi ISPV meziročně </w:t>
      </w:r>
      <w:r w:rsidRPr="00824223">
        <w:rPr>
          <w:rFonts w:cs="Arial"/>
        </w:rPr>
        <w:t xml:space="preserve">značně </w:t>
      </w:r>
      <w:r w:rsidR="009F1542" w:rsidRPr="00824223">
        <w:rPr>
          <w:rFonts w:cs="Arial"/>
        </w:rPr>
        <w:t>snížil</w:t>
      </w:r>
      <w:r w:rsidRPr="00824223">
        <w:rPr>
          <w:rFonts w:cs="Arial"/>
        </w:rPr>
        <w:t xml:space="preserve"> (o 9,7 %; resp. o 6,3 %)</w:t>
      </w:r>
      <w:r w:rsidR="009F1542" w:rsidRPr="00824223">
        <w:rPr>
          <w:rFonts w:cs="Arial"/>
        </w:rPr>
        <w:t xml:space="preserve">, počet </w:t>
      </w:r>
      <w:r w:rsidRPr="00824223">
        <w:rPr>
          <w:rFonts w:cs="Arial"/>
        </w:rPr>
        <w:t>Polák</w:t>
      </w:r>
      <w:r w:rsidR="009F1542" w:rsidRPr="00824223">
        <w:rPr>
          <w:rFonts w:cs="Arial"/>
        </w:rPr>
        <w:t>ů vzrostl o </w:t>
      </w:r>
      <w:r w:rsidRPr="00824223">
        <w:rPr>
          <w:rFonts w:cs="Arial"/>
        </w:rPr>
        <w:t>2,7</w:t>
      </w:r>
      <w:r w:rsidR="009F1542" w:rsidRPr="00824223">
        <w:rPr>
          <w:rFonts w:cs="Arial"/>
        </w:rPr>
        <w:t> %</w:t>
      </w:r>
      <w:r w:rsidRPr="00824223">
        <w:rPr>
          <w:rFonts w:cs="Arial"/>
        </w:rPr>
        <w:t>.</w:t>
      </w:r>
      <w:r w:rsidR="009F1542" w:rsidRPr="00824223">
        <w:rPr>
          <w:rFonts w:cs="Arial"/>
        </w:rPr>
        <w:t xml:space="preserve"> </w:t>
      </w:r>
      <w:r w:rsidRPr="00824223">
        <w:rPr>
          <w:rFonts w:cs="Arial"/>
        </w:rPr>
        <w:t>P</w:t>
      </w:r>
      <w:r w:rsidR="009F1542" w:rsidRPr="00824223">
        <w:rPr>
          <w:rFonts w:cs="Arial"/>
        </w:rPr>
        <w:t xml:space="preserve">očet občanů Slovenska </w:t>
      </w:r>
      <w:r w:rsidRPr="00824223">
        <w:rPr>
          <w:rFonts w:cs="Arial"/>
        </w:rPr>
        <w:t xml:space="preserve">vzrostl jen nevýrazně </w:t>
      </w:r>
      <w:r w:rsidR="009F1542" w:rsidRPr="00824223">
        <w:rPr>
          <w:rFonts w:cs="Arial"/>
        </w:rPr>
        <w:t>(</w:t>
      </w:r>
      <w:r w:rsidRPr="00824223">
        <w:rPr>
          <w:rFonts w:cs="Arial"/>
        </w:rPr>
        <w:t>o 0,5 %</w:t>
      </w:r>
      <w:r w:rsidR="009F1542" w:rsidRPr="00824223">
        <w:rPr>
          <w:rFonts w:cs="Arial"/>
        </w:rPr>
        <w:t>)</w:t>
      </w:r>
      <w:r>
        <w:rPr>
          <w:rFonts w:cs="Arial"/>
        </w:rPr>
        <w:t xml:space="preserve">, mnohem více stoupaly počty </w:t>
      </w:r>
      <w:r w:rsidR="00EA712F">
        <w:rPr>
          <w:rFonts w:cs="Arial"/>
        </w:rPr>
        <w:t>u </w:t>
      </w:r>
      <w:r>
        <w:rPr>
          <w:rFonts w:cs="Arial"/>
        </w:rPr>
        <w:t>ostatních státních občanství</w:t>
      </w:r>
      <w:r w:rsidR="009F1542" w:rsidRPr="00824223">
        <w:rPr>
          <w:rFonts w:cs="Arial"/>
        </w:rPr>
        <w:t>.</w:t>
      </w:r>
    </w:p>
    <w:p w14:paraId="15AD37EB" w14:textId="77777777" w:rsidR="00A46E8F" w:rsidRPr="0039199A" w:rsidRDefault="00A46E8F" w:rsidP="00A46E8F">
      <w:pPr>
        <w:rPr>
          <w:rFonts w:cs="Arial"/>
          <w:color w:val="E36C0A" w:themeColor="accent6" w:themeShade="BF"/>
        </w:rPr>
      </w:pPr>
      <w:r w:rsidRPr="00D004BA">
        <w:rPr>
          <w:rFonts w:cs="Arial"/>
        </w:rPr>
        <w:t xml:space="preserve">Podle platné klasifikace </w:t>
      </w:r>
      <w:r w:rsidRPr="00D004BA">
        <w:rPr>
          <w:rFonts w:cs="Arial"/>
          <w:b/>
        </w:rPr>
        <w:t>zaměstnání</w:t>
      </w:r>
      <w:r w:rsidRPr="00D004BA">
        <w:rPr>
          <w:rFonts w:cs="Arial"/>
        </w:rPr>
        <w:t xml:space="preserve"> CZ-ISCO pobírali nejvyšší výdělky řídící pracovníci</w:t>
      </w:r>
      <w:r w:rsidRPr="003B5241">
        <w:rPr>
          <w:rFonts w:cs="Arial"/>
        </w:rPr>
        <w:t xml:space="preserve"> s mediánem </w:t>
      </w:r>
      <w:r w:rsidR="00E26079" w:rsidRPr="003B5241">
        <w:rPr>
          <w:rFonts w:cs="Arial"/>
        </w:rPr>
        <w:t>7</w:t>
      </w:r>
      <w:r w:rsidR="003B5241" w:rsidRPr="003B5241">
        <w:rPr>
          <w:rFonts w:cs="Arial"/>
        </w:rPr>
        <w:t>4</w:t>
      </w:r>
      <w:r w:rsidRPr="003B5241">
        <w:rPr>
          <w:rFonts w:cs="Arial"/>
        </w:rPr>
        <w:t> </w:t>
      </w:r>
      <w:r w:rsidR="003B5241" w:rsidRPr="003B5241">
        <w:rPr>
          <w:rFonts w:cs="Arial"/>
        </w:rPr>
        <w:t>151</w:t>
      </w:r>
      <w:r w:rsidRPr="003B5241">
        <w:rPr>
          <w:rFonts w:cs="Arial"/>
        </w:rPr>
        <w:t xml:space="preserve"> Kč, </w:t>
      </w:r>
      <w:r w:rsidR="006B18FD" w:rsidRPr="003B5241">
        <w:rPr>
          <w:rFonts w:cs="Arial"/>
        </w:rPr>
        <w:t>meziročně se zvýšil o 7,</w:t>
      </w:r>
      <w:r w:rsidR="003B5241" w:rsidRPr="003B5241">
        <w:rPr>
          <w:rFonts w:cs="Arial"/>
        </w:rPr>
        <w:t>3</w:t>
      </w:r>
      <w:r w:rsidR="006B18FD" w:rsidRPr="003B5241">
        <w:rPr>
          <w:rFonts w:cs="Arial"/>
        </w:rPr>
        <w:t> %. J</w:t>
      </w:r>
      <w:r w:rsidRPr="003B5241">
        <w:rPr>
          <w:rFonts w:cs="Arial"/>
        </w:rPr>
        <w:t>ejich</w:t>
      </w:r>
      <w:r w:rsidR="006B18FD" w:rsidRPr="003B5241">
        <w:rPr>
          <w:rFonts w:cs="Arial"/>
        </w:rPr>
        <w:t xml:space="preserve"> mzdy jsou</w:t>
      </w:r>
      <w:r w:rsidRPr="003B5241">
        <w:rPr>
          <w:rFonts w:cs="Arial"/>
        </w:rPr>
        <w:t xml:space="preserve"> nejvíce diferencované, desetina nejlépe placených brala více než 1</w:t>
      </w:r>
      <w:r w:rsidR="00E26079" w:rsidRPr="003B5241">
        <w:rPr>
          <w:rFonts w:cs="Arial"/>
        </w:rPr>
        <w:t>7</w:t>
      </w:r>
      <w:r w:rsidR="003B5241" w:rsidRPr="003B5241">
        <w:rPr>
          <w:rFonts w:cs="Arial"/>
        </w:rPr>
        <w:t>0</w:t>
      </w:r>
      <w:r w:rsidRPr="003B5241">
        <w:rPr>
          <w:rFonts w:cs="Arial"/>
        </w:rPr>
        <w:t> </w:t>
      </w:r>
      <w:r w:rsidR="003B5241" w:rsidRPr="003B5241">
        <w:rPr>
          <w:rFonts w:cs="Arial"/>
        </w:rPr>
        <w:t>073</w:t>
      </w:r>
      <w:r w:rsidRPr="003B5241">
        <w:rPr>
          <w:rFonts w:cs="Arial"/>
        </w:rPr>
        <w:t> </w:t>
      </w:r>
      <w:r w:rsidR="00E26079" w:rsidRPr="003B5241">
        <w:rPr>
          <w:rFonts w:cs="Arial"/>
        </w:rPr>
        <w:t>Kč a opačná desetina méně než 3</w:t>
      </w:r>
      <w:r w:rsidR="003B5241" w:rsidRPr="003B5241">
        <w:rPr>
          <w:rFonts w:cs="Arial"/>
        </w:rPr>
        <w:t>8</w:t>
      </w:r>
      <w:r w:rsidRPr="003B5241">
        <w:rPr>
          <w:rFonts w:cs="Arial"/>
        </w:rPr>
        <w:t> </w:t>
      </w:r>
      <w:r w:rsidR="003B5241" w:rsidRPr="003B5241">
        <w:rPr>
          <w:rFonts w:cs="Arial"/>
        </w:rPr>
        <w:t>102</w:t>
      </w:r>
      <w:r w:rsidRPr="003B5241">
        <w:rPr>
          <w:rFonts w:cs="Arial"/>
        </w:rPr>
        <w:t> Kč. Druhá nejvyšší úroveň byla u specialistů s </w:t>
      </w:r>
      <w:r w:rsidR="003B5241" w:rsidRPr="003B5241">
        <w:rPr>
          <w:rFonts w:cs="Arial"/>
        </w:rPr>
        <w:t>52</w:t>
      </w:r>
      <w:r w:rsidRPr="003B5241">
        <w:rPr>
          <w:rFonts w:cs="Arial"/>
        </w:rPr>
        <w:t> </w:t>
      </w:r>
      <w:r w:rsidR="003B5241" w:rsidRPr="003B5241">
        <w:rPr>
          <w:rFonts w:cs="Arial"/>
        </w:rPr>
        <w:t>455</w:t>
      </w:r>
      <w:r w:rsidRPr="003B5241">
        <w:rPr>
          <w:rFonts w:cs="Arial"/>
        </w:rPr>
        <w:t xml:space="preserve"> Kč </w:t>
      </w:r>
      <w:r w:rsidR="007F5777">
        <w:rPr>
          <w:rFonts w:cs="Arial"/>
        </w:rPr>
        <w:t>(</w:t>
      </w:r>
      <w:r w:rsidR="007F5777" w:rsidRPr="007F5777">
        <w:rPr>
          <w:rFonts w:cs="Arial"/>
        </w:rPr>
        <w:t xml:space="preserve">zvýšení </w:t>
      </w:r>
      <w:r w:rsidR="007F5777">
        <w:rPr>
          <w:rFonts w:cs="Arial"/>
        </w:rPr>
        <w:t xml:space="preserve">jen </w:t>
      </w:r>
      <w:r w:rsidR="007F5777" w:rsidRPr="007F5777">
        <w:rPr>
          <w:rFonts w:cs="Arial"/>
        </w:rPr>
        <w:t>o </w:t>
      </w:r>
      <w:r w:rsidR="007F5777">
        <w:rPr>
          <w:rFonts w:cs="Arial"/>
        </w:rPr>
        <w:t>4,1</w:t>
      </w:r>
      <w:r w:rsidR="007F5777" w:rsidRPr="007F5777">
        <w:rPr>
          <w:rFonts w:cs="Arial"/>
        </w:rPr>
        <w:t> %)</w:t>
      </w:r>
      <w:r w:rsidR="00E04789">
        <w:rPr>
          <w:rFonts w:cs="Arial"/>
        </w:rPr>
        <w:t>.</w:t>
      </w:r>
      <w:r w:rsidR="007F5777">
        <w:rPr>
          <w:rFonts w:cs="Arial"/>
        </w:rPr>
        <w:t xml:space="preserve"> </w:t>
      </w:r>
      <w:r w:rsidR="00E04789">
        <w:rPr>
          <w:rFonts w:cs="Arial"/>
        </w:rPr>
        <w:t>T</w:t>
      </w:r>
      <w:r w:rsidRPr="003B5241">
        <w:rPr>
          <w:rFonts w:cs="Arial"/>
        </w:rPr>
        <w:t>řetí</w:t>
      </w:r>
      <w:r w:rsidR="00E04789">
        <w:rPr>
          <w:rFonts w:cs="Arial"/>
        </w:rPr>
        <w:t xml:space="preserve"> hlavní třída zahrnuje</w:t>
      </w:r>
      <w:r w:rsidRPr="003B5241">
        <w:rPr>
          <w:rFonts w:cs="Arial"/>
        </w:rPr>
        <w:t xml:space="preserve"> tec</w:t>
      </w:r>
      <w:r w:rsidR="006B18FD" w:rsidRPr="003B5241">
        <w:rPr>
          <w:rFonts w:cs="Arial"/>
        </w:rPr>
        <w:t>hni</w:t>
      </w:r>
      <w:r w:rsidR="00E04789">
        <w:rPr>
          <w:rFonts w:cs="Arial"/>
        </w:rPr>
        <w:t>cké</w:t>
      </w:r>
      <w:r w:rsidR="006B18FD" w:rsidRPr="003B5241">
        <w:rPr>
          <w:rFonts w:cs="Arial"/>
        </w:rPr>
        <w:t xml:space="preserve"> a odborn</w:t>
      </w:r>
      <w:r w:rsidR="00E04789">
        <w:rPr>
          <w:rFonts w:cs="Arial"/>
        </w:rPr>
        <w:t>é</w:t>
      </w:r>
      <w:r w:rsidR="006B18FD" w:rsidRPr="003B5241">
        <w:rPr>
          <w:rFonts w:cs="Arial"/>
        </w:rPr>
        <w:t xml:space="preserve"> pracovní</w:t>
      </w:r>
      <w:r w:rsidR="00E04789">
        <w:rPr>
          <w:rFonts w:cs="Arial"/>
        </w:rPr>
        <w:t>ky, kteří měli medián</w:t>
      </w:r>
      <w:r w:rsidR="006B18FD" w:rsidRPr="003B5241">
        <w:rPr>
          <w:rFonts w:cs="Arial"/>
        </w:rPr>
        <w:t> 4</w:t>
      </w:r>
      <w:r w:rsidR="003B5241" w:rsidRPr="003B5241">
        <w:rPr>
          <w:rFonts w:cs="Arial"/>
        </w:rPr>
        <w:t>2</w:t>
      </w:r>
      <w:r w:rsidRPr="003B5241">
        <w:rPr>
          <w:rFonts w:cs="Arial"/>
        </w:rPr>
        <w:t> </w:t>
      </w:r>
      <w:r w:rsidR="003B5241" w:rsidRPr="003B5241">
        <w:rPr>
          <w:rFonts w:cs="Arial"/>
        </w:rPr>
        <w:t>769</w:t>
      </w:r>
      <w:r w:rsidR="00E04789">
        <w:rPr>
          <w:rFonts w:cs="Arial"/>
        </w:rPr>
        <w:t> Kč, a čtvrtá h</w:t>
      </w:r>
      <w:r w:rsidR="007F5777">
        <w:rPr>
          <w:rFonts w:cs="Arial"/>
        </w:rPr>
        <w:t>lavní třída</w:t>
      </w:r>
      <w:r w:rsidR="007F5777" w:rsidRPr="007F5777">
        <w:rPr>
          <w:rFonts w:cs="Arial"/>
        </w:rPr>
        <w:t xml:space="preserve"> </w:t>
      </w:r>
      <w:r w:rsidR="00E04789" w:rsidRPr="003B5241">
        <w:rPr>
          <w:rFonts w:cs="Arial"/>
        </w:rPr>
        <w:t>Úředníci 32 460</w:t>
      </w:r>
      <w:r w:rsidRPr="003B5241">
        <w:rPr>
          <w:rFonts w:cs="Arial"/>
        </w:rPr>
        <w:t> </w:t>
      </w:r>
      <w:r w:rsidRPr="007F5777">
        <w:rPr>
          <w:rFonts w:cs="Arial"/>
        </w:rPr>
        <w:t>Kč</w:t>
      </w:r>
      <w:r w:rsidR="003B5241" w:rsidRPr="007F5777">
        <w:rPr>
          <w:rFonts w:cs="Arial"/>
        </w:rPr>
        <w:t>.</w:t>
      </w:r>
      <w:r w:rsidRPr="007F5777">
        <w:rPr>
          <w:rFonts w:cs="Arial"/>
        </w:rPr>
        <w:t xml:space="preserve"> </w:t>
      </w:r>
      <w:r w:rsidR="007F5777">
        <w:rPr>
          <w:rFonts w:cs="Arial"/>
        </w:rPr>
        <w:t>P</w:t>
      </w:r>
      <w:r w:rsidRPr="007F5777">
        <w:rPr>
          <w:rFonts w:cs="Arial"/>
        </w:rPr>
        <w:t>racovní</w:t>
      </w:r>
      <w:r w:rsidR="007F5777">
        <w:rPr>
          <w:rFonts w:cs="Arial"/>
        </w:rPr>
        <w:t>ci ve službách a </w:t>
      </w:r>
      <w:r w:rsidRPr="007F5777">
        <w:rPr>
          <w:rFonts w:cs="Arial"/>
        </w:rPr>
        <w:t>prodeji často patří k nízkovýdělkovým zaměstnancům</w:t>
      </w:r>
      <w:r w:rsidRPr="007F5777">
        <w:rPr>
          <w:rStyle w:val="Znakapoznpodarou"/>
          <w:rFonts w:cs="Arial"/>
        </w:rPr>
        <w:footnoteReference w:id="1"/>
      </w:r>
      <w:r w:rsidRPr="007F5777">
        <w:rPr>
          <w:rFonts w:cs="Arial"/>
        </w:rPr>
        <w:t>: měli decilové rozpětí 1</w:t>
      </w:r>
      <w:r w:rsidR="007F5777" w:rsidRPr="007F5777">
        <w:rPr>
          <w:rFonts w:cs="Arial"/>
        </w:rPr>
        <w:t>9</w:t>
      </w:r>
      <w:r w:rsidRPr="007F5777">
        <w:rPr>
          <w:rFonts w:cs="Arial"/>
        </w:rPr>
        <w:t> </w:t>
      </w:r>
      <w:r w:rsidR="007F5777" w:rsidRPr="007F5777">
        <w:rPr>
          <w:rFonts w:cs="Arial"/>
        </w:rPr>
        <w:t>193</w:t>
      </w:r>
      <w:r w:rsidRPr="007F5777">
        <w:rPr>
          <w:rFonts w:cs="Arial"/>
        </w:rPr>
        <w:t> Kč až 4</w:t>
      </w:r>
      <w:r w:rsidR="007F5777" w:rsidRPr="007F5777">
        <w:rPr>
          <w:rFonts w:cs="Arial"/>
        </w:rPr>
        <w:t>5</w:t>
      </w:r>
      <w:r w:rsidRPr="007F5777">
        <w:rPr>
          <w:rFonts w:cs="Arial"/>
        </w:rPr>
        <w:t> </w:t>
      </w:r>
      <w:r w:rsidR="007F5777" w:rsidRPr="007F5777">
        <w:rPr>
          <w:rFonts w:cs="Arial"/>
        </w:rPr>
        <w:t>261</w:t>
      </w:r>
      <w:r w:rsidRPr="007F5777">
        <w:rPr>
          <w:rFonts w:cs="Arial"/>
        </w:rPr>
        <w:t> Kč a medián 2</w:t>
      </w:r>
      <w:r w:rsidR="007F5777" w:rsidRPr="007F5777">
        <w:rPr>
          <w:rFonts w:cs="Arial"/>
        </w:rPr>
        <w:t>8</w:t>
      </w:r>
      <w:r w:rsidRPr="007F5777">
        <w:rPr>
          <w:rFonts w:cs="Arial"/>
        </w:rPr>
        <w:t> </w:t>
      </w:r>
      <w:r w:rsidR="007F5777" w:rsidRPr="007F5777">
        <w:rPr>
          <w:rFonts w:cs="Arial"/>
        </w:rPr>
        <w:t>573</w:t>
      </w:r>
      <w:r w:rsidRPr="007F5777">
        <w:rPr>
          <w:rFonts w:cs="Arial"/>
        </w:rPr>
        <w:t xml:space="preserve"> Kč. </w:t>
      </w:r>
      <w:r w:rsidR="007F5777" w:rsidRPr="007F5777">
        <w:rPr>
          <w:rFonts w:cs="Arial"/>
        </w:rPr>
        <w:t>Nejvíce</w:t>
      </w:r>
      <w:r w:rsidR="003B5241" w:rsidRPr="007F5777">
        <w:rPr>
          <w:rFonts w:cs="Arial"/>
        </w:rPr>
        <w:t xml:space="preserve"> (o </w:t>
      </w:r>
      <w:r w:rsidR="007F5777" w:rsidRPr="007F5777">
        <w:rPr>
          <w:rFonts w:cs="Arial"/>
        </w:rPr>
        <w:t>8,4</w:t>
      </w:r>
      <w:r w:rsidR="003B5241" w:rsidRPr="007F5777">
        <w:rPr>
          <w:rFonts w:cs="Arial"/>
        </w:rPr>
        <w:t xml:space="preserve"> %) meziročně vzrostl medián </w:t>
      </w:r>
      <w:r w:rsidR="007F5777" w:rsidRPr="007F5777">
        <w:rPr>
          <w:rFonts w:cs="Arial"/>
        </w:rPr>
        <w:t>ř</w:t>
      </w:r>
      <w:r w:rsidRPr="007F5777">
        <w:rPr>
          <w:rFonts w:cs="Arial"/>
        </w:rPr>
        <w:t>emeslní</w:t>
      </w:r>
      <w:r w:rsidR="007F5777" w:rsidRPr="007F5777">
        <w:rPr>
          <w:rFonts w:cs="Arial"/>
        </w:rPr>
        <w:t xml:space="preserve">ků a opravářů, který se tak dostal na úroveň </w:t>
      </w:r>
      <w:r w:rsidRPr="007F5777">
        <w:rPr>
          <w:rFonts w:cs="Arial"/>
        </w:rPr>
        <w:t>3</w:t>
      </w:r>
      <w:r w:rsidR="007F5777" w:rsidRPr="007F5777">
        <w:rPr>
          <w:rFonts w:cs="Arial"/>
        </w:rPr>
        <w:t>5</w:t>
      </w:r>
      <w:r w:rsidRPr="007F5777">
        <w:rPr>
          <w:rFonts w:cs="Arial"/>
        </w:rPr>
        <w:t> </w:t>
      </w:r>
      <w:r w:rsidR="007F5777" w:rsidRPr="007F5777">
        <w:rPr>
          <w:rFonts w:cs="Arial"/>
        </w:rPr>
        <w:t>197</w:t>
      </w:r>
      <w:r w:rsidRPr="007F5777">
        <w:rPr>
          <w:rFonts w:cs="Arial"/>
        </w:rPr>
        <w:t> Kč</w:t>
      </w:r>
      <w:r w:rsidR="007F5777" w:rsidRPr="007F5777">
        <w:rPr>
          <w:rFonts w:cs="Arial"/>
        </w:rPr>
        <w:t>; zároveň zde došlo k meziročnímu snížení počtu záznamů.</w:t>
      </w:r>
      <w:r w:rsidRPr="007F5777">
        <w:rPr>
          <w:rFonts w:cs="Arial"/>
        </w:rPr>
        <w:t xml:space="preserve"> </w:t>
      </w:r>
      <w:r w:rsidR="007F5777" w:rsidRPr="007F5777">
        <w:rPr>
          <w:rFonts w:cs="Arial"/>
        </w:rPr>
        <w:t>O</w:t>
      </w:r>
      <w:r w:rsidRPr="007F5777">
        <w:rPr>
          <w:rFonts w:cs="Arial"/>
        </w:rPr>
        <w:t xml:space="preserve">bsluha strojů a zařízení, montéři </w:t>
      </w:r>
      <w:r w:rsidR="007F5777" w:rsidRPr="007F5777">
        <w:rPr>
          <w:rFonts w:cs="Arial"/>
        </w:rPr>
        <w:t xml:space="preserve">pak měla </w:t>
      </w:r>
      <w:r w:rsidR="006B18FD" w:rsidRPr="007F5777">
        <w:rPr>
          <w:rFonts w:cs="Arial"/>
        </w:rPr>
        <w:t>3</w:t>
      </w:r>
      <w:r w:rsidR="007F5777" w:rsidRPr="007F5777">
        <w:rPr>
          <w:rFonts w:cs="Arial"/>
        </w:rPr>
        <w:t>3</w:t>
      </w:r>
      <w:r w:rsidRPr="007F5777">
        <w:rPr>
          <w:rFonts w:cs="Arial"/>
        </w:rPr>
        <w:t> </w:t>
      </w:r>
      <w:r w:rsidR="007F5777" w:rsidRPr="007F5777">
        <w:rPr>
          <w:rFonts w:cs="Arial"/>
        </w:rPr>
        <w:t>494</w:t>
      </w:r>
      <w:r w:rsidR="00386242" w:rsidRPr="007F5777">
        <w:rPr>
          <w:rFonts w:cs="Arial"/>
        </w:rPr>
        <w:t> Kč (zvýšení o </w:t>
      </w:r>
      <w:r w:rsidR="007F5777" w:rsidRPr="007F5777">
        <w:rPr>
          <w:rFonts w:cs="Arial"/>
        </w:rPr>
        <w:t>6,9</w:t>
      </w:r>
      <w:r w:rsidR="00386242" w:rsidRPr="007F5777">
        <w:rPr>
          <w:rFonts w:cs="Arial"/>
        </w:rPr>
        <w:t> %)</w:t>
      </w:r>
      <w:r w:rsidRPr="007F5777">
        <w:rPr>
          <w:rFonts w:cs="Arial"/>
        </w:rPr>
        <w:t>. U pomocných a </w:t>
      </w:r>
      <w:r w:rsidRPr="0082670F">
        <w:rPr>
          <w:rFonts w:cs="Arial"/>
        </w:rPr>
        <w:t xml:space="preserve">nekvalifikovaných pracovníků je </w:t>
      </w:r>
      <w:r w:rsidR="007F5777" w:rsidRPr="0082670F">
        <w:rPr>
          <w:rFonts w:cs="Arial"/>
        </w:rPr>
        <w:t xml:space="preserve">vždy </w:t>
      </w:r>
      <w:r w:rsidRPr="0082670F">
        <w:rPr>
          <w:rFonts w:cs="Arial"/>
        </w:rPr>
        <w:t>nejnižší mzdová úroveň</w:t>
      </w:r>
      <w:r w:rsidR="00386242" w:rsidRPr="0082670F">
        <w:rPr>
          <w:rFonts w:cs="Arial"/>
        </w:rPr>
        <w:t>, aktuálně</w:t>
      </w:r>
      <w:r w:rsidRPr="0082670F">
        <w:rPr>
          <w:rFonts w:cs="Arial"/>
        </w:rPr>
        <w:t xml:space="preserve"> </w:t>
      </w:r>
      <w:r w:rsidR="00386242" w:rsidRPr="0082670F">
        <w:rPr>
          <w:rFonts w:cs="Arial"/>
        </w:rPr>
        <w:t>vzrostl m</w:t>
      </w:r>
      <w:r w:rsidRPr="0082670F">
        <w:rPr>
          <w:rFonts w:cs="Arial"/>
        </w:rPr>
        <w:t>edián</w:t>
      </w:r>
      <w:r w:rsidR="00386242" w:rsidRPr="0082670F">
        <w:rPr>
          <w:rFonts w:cs="Arial"/>
        </w:rPr>
        <w:t xml:space="preserve"> o </w:t>
      </w:r>
      <w:r w:rsidR="007F5777" w:rsidRPr="0082670F">
        <w:rPr>
          <w:rFonts w:cs="Arial"/>
        </w:rPr>
        <w:t>5,4</w:t>
      </w:r>
      <w:r w:rsidR="00386242" w:rsidRPr="0082670F">
        <w:rPr>
          <w:rFonts w:cs="Arial"/>
        </w:rPr>
        <w:t> % na</w:t>
      </w:r>
      <w:r w:rsidRPr="0082670F">
        <w:rPr>
          <w:rFonts w:cs="Arial"/>
        </w:rPr>
        <w:t xml:space="preserve"> 2</w:t>
      </w:r>
      <w:r w:rsidR="007F5777" w:rsidRPr="0082670F">
        <w:rPr>
          <w:rFonts w:cs="Arial"/>
        </w:rPr>
        <w:t>3 308 </w:t>
      </w:r>
      <w:r w:rsidRPr="0082670F">
        <w:rPr>
          <w:rFonts w:cs="Arial"/>
        </w:rPr>
        <w:t>Kč, mají tedy nadpoloviční podíl nízkovýdělkových zaměstnanců, decilové rozpětí bylo 1</w:t>
      </w:r>
      <w:r w:rsidR="00386242" w:rsidRPr="0082670F">
        <w:rPr>
          <w:rFonts w:cs="Arial"/>
        </w:rPr>
        <w:t>6</w:t>
      </w:r>
      <w:r w:rsidRPr="0082670F">
        <w:rPr>
          <w:rFonts w:cs="Arial"/>
        </w:rPr>
        <w:t> </w:t>
      </w:r>
      <w:r w:rsidR="007F5777" w:rsidRPr="0082670F">
        <w:rPr>
          <w:rFonts w:cs="Arial"/>
        </w:rPr>
        <w:t>848</w:t>
      </w:r>
      <w:r w:rsidRPr="0082670F">
        <w:rPr>
          <w:rFonts w:cs="Arial"/>
        </w:rPr>
        <w:t xml:space="preserve"> Kč </w:t>
      </w:r>
      <w:r w:rsidRPr="0082670F">
        <w:rPr>
          <w:rFonts w:cs="Arial"/>
        </w:rPr>
        <w:lastRenderedPageBreak/>
        <w:t>až 3</w:t>
      </w:r>
      <w:r w:rsidR="007F5777" w:rsidRPr="0082670F">
        <w:rPr>
          <w:rFonts w:cs="Arial"/>
        </w:rPr>
        <w:t>6</w:t>
      </w:r>
      <w:r w:rsidRPr="0082670F">
        <w:rPr>
          <w:rFonts w:cs="Arial"/>
        </w:rPr>
        <w:t> </w:t>
      </w:r>
      <w:r w:rsidR="007F5777" w:rsidRPr="0082670F">
        <w:rPr>
          <w:rFonts w:cs="Arial"/>
        </w:rPr>
        <w:t>103</w:t>
      </w:r>
      <w:r w:rsidRPr="0082670F">
        <w:rPr>
          <w:rFonts w:cs="Arial"/>
        </w:rPr>
        <w:t> Kč.</w:t>
      </w:r>
      <w:r w:rsidR="007F5777" w:rsidRPr="0082670F">
        <w:rPr>
          <w:rFonts w:cs="Arial"/>
        </w:rPr>
        <w:t xml:space="preserve"> Zároveň </w:t>
      </w:r>
      <w:r w:rsidR="007F5777">
        <w:rPr>
          <w:rFonts w:cs="Arial"/>
        </w:rPr>
        <w:t>u nich</w:t>
      </w:r>
      <w:r w:rsidR="007F5777" w:rsidRPr="007F5777">
        <w:rPr>
          <w:rFonts w:cs="Arial"/>
        </w:rPr>
        <w:t xml:space="preserve"> došlo k</w:t>
      </w:r>
      <w:r w:rsidR="007F5777">
        <w:rPr>
          <w:rFonts w:cs="Arial"/>
        </w:rPr>
        <w:t xml:space="preserve"> nejvyššímu </w:t>
      </w:r>
      <w:r w:rsidR="007F5777" w:rsidRPr="007F5777">
        <w:rPr>
          <w:rFonts w:cs="Arial"/>
        </w:rPr>
        <w:t xml:space="preserve">meziročnímu </w:t>
      </w:r>
      <w:r w:rsidR="007F5777">
        <w:rPr>
          <w:rFonts w:cs="Arial"/>
        </w:rPr>
        <w:t>zvýše</w:t>
      </w:r>
      <w:r w:rsidR="007F5777" w:rsidRPr="007F5777">
        <w:rPr>
          <w:rFonts w:cs="Arial"/>
        </w:rPr>
        <w:t>ní počtu záznamů</w:t>
      </w:r>
      <w:r w:rsidR="007F5777">
        <w:rPr>
          <w:rFonts w:cs="Arial"/>
        </w:rPr>
        <w:t xml:space="preserve"> (o 4,4 %).</w:t>
      </w:r>
      <w:r w:rsidR="00EA712F">
        <w:rPr>
          <w:rFonts w:cs="Arial"/>
        </w:rPr>
        <w:t xml:space="preserve"> U malé hlavní třídy zaměstnanců v ozbrojených silách došlo k pouze nevýraznému zvýšení prostředního platu o 1,8 % na 42 793 Kč.</w:t>
      </w:r>
    </w:p>
    <w:p w14:paraId="74A40D08" w14:textId="77777777" w:rsidR="00A46E8F" w:rsidRPr="0039199A" w:rsidRDefault="00A46E8F" w:rsidP="00A46E8F">
      <w:pPr>
        <w:rPr>
          <w:rFonts w:cs="Arial"/>
          <w:color w:val="E36C0A" w:themeColor="accent6" w:themeShade="BF"/>
        </w:rPr>
      </w:pPr>
      <w:r w:rsidRPr="0082670F">
        <w:rPr>
          <w:rFonts w:cs="Arial"/>
        </w:rPr>
        <w:t xml:space="preserve">Podle </w:t>
      </w:r>
      <w:r w:rsidRPr="0082670F">
        <w:rPr>
          <w:rFonts w:cs="Arial"/>
          <w:b/>
        </w:rPr>
        <w:t>věkových kategorií</w:t>
      </w:r>
      <w:r w:rsidRPr="0082670F">
        <w:rPr>
          <w:rFonts w:cs="Arial"/>
        </w:rPr>
        <w:t xml:space="preserve"> pobírali nejnižší mzdy zaměstnanci do 20 let (</w:t>
      </w:r>
      <w:r w:rsidR="00EA712F">
        <w:rPr>
          <w:rFonts w:cs="Arial"/>
        </w:rPr>
        <w:t xml:space="preserve">medián </w:t>
      </w:r>
      <w:r w:rsidRPr="0082670F">
        <w:rPr>
          <w:rFonts w:cs="Arial"/>
        </w:rPr>
        <w:t>2</w:t>
      </w:r>
      <w:r w:rsidR="0082670F" w:rsidRPr="0082670F">
        <w:rPr>
          <w:rFonts w:cs="Arial"/>
        </w:rPr>
        <w:t>7</w:t>
      </w:r>
      <w:r w:rsidRPr="0082670F">
        <w:rPr>
          <w:rFonts w:cs="Arial"/>
        </w:rPr>
        <w:t> </w:t>
      </w:r>
      <w:r w:rsidR="0082670F" w:rsidRPr="0082670F">
        <w:rPr>
          <w:rFonts w:cs="Arial"/>
        </w:rPr>
        <w:t>143</w:t>
      </w:r>
      <w:r w:rsidRPr="0082670F">
        <w:rPr>
          <w:rFonts w:cs="Arial"/>
        </w:rPr>
        <w:t xml:space="preserve"> Kč), </w:t>
      </w:r>
      <w:r w:rsidR="0082670F">
        <w:rPr>
          <w:rFonts w:cs="Arial"/>
        </w:rPr>
        <w:t xml:space="preserve">jen každý desátý překročil hranici 37 140 Kč; </w:t>
      </w:r>
      <w:r w:rsidRPr="0082670F">
        <w:rPr>
          <w:rFonts w:cs="Arial"/>
        </w:rPr>
        <w:t xml:space="preserve">zároveň jich meziročně ve vzorku </w:t>
      </w:r>
      <w:r w:rsidR="00314F3C" w:rsidRPr="0082670F">
        <w:rPr>
          <w:rFonts w:cs="Arial"/>
        </w:rPr>
        <w:t>při</w:t>
      </w:r>
      <w:r w:rsidRPr="0082670F">
        <w:rPr>
          <w:rFonts w:cs="Arial"/>
        </w:rPr>
        <w:t xml:space="preserve">bylo </w:t>
      </w:r>
      <w:r w:rsidR="0082670F" w:rsidRPr="0082670F">
        <w:rPr>
          <w:rFonts w:cs="Arial"/>
        </w:rPr>
        <w:t>nejvíce (</w:t>
      </w:r>
      <w:r w:rsidR="00B76FE6">
        <w:rPr>
          <w:rFonts w:cs="Arial"/>
        </w:rPr>
        <w:t xml:space="preserve">takřka </w:t>
      </w:r>
      <w:r w:rsidR="0082670F" w:rsidRPr="0082670F">
        <w:rPr>
          <w:rFonts w:cs="Arial"/>
        </w:rPr>
        <w:t>o 15 %)</w:t>
      </w:r>
      <w:r w:rsidRPr="0039199A">
        <w:rPr>
          <w:rFonts w:cs="Arial"/>
          <w:color w:val="E36C0A" w:themeColor="accent6" w:themeShade="BF"/>
        </w:rPr>
        <w:t xml:space="preserve">. </w:t>
      </w:r>
      <w:r w:rsidRPr="0082670F">
        <w:rPr>
          <w:rFonts w:cs="Arial"/>
        </w:rPr>
        <w:t xml:space="preserve">Ve věku 20–29 let byl medián mezd již </w:t>
      </w:r>
      <w:r w:rsidR="0082670F" w:rsidRPr="0082670F">
        <w:rPr>
          <w:rFonts w:cs="Arial"/>
        </w:rPr>
        <w:t>značně</w:t>
      </w:r>
      <w:r w:rsidRPr="0082670F">
        <w:rPr>
          <w:rFonts w:cs="Arial"/>
        </w:rPr>
        <w:t xml:space="preserve"> vyšší (3</w:t>
      </w:r>
      <w:r w:rsidR="0082670F" w:rsidRPr="0082670F">
        <w:rPr>
          <w:rFonts w:cs="Arial"/>
        </w:rPr>
        <w:t>4</w:t>
      </w:r>
      <w:r w:rsidRPr="0082670F">
        <w:rPr>
          <w:rFonts w:cs="Arial"/>
        </w:rPr>
        <w:t> </w:t>
      </w:r>
      <w:r w:rsidR="0082670F" w:rsidRPr="0082670F">
        <w:rPr>
          <w:rFonts w:cs="Arial"/>
        </w:rPr>
        <w:t>335</w:t>
      </w:r>
      <w:r w:rsidRPr="0082670F">
        <w:rPr>
          <w:rFonts w:cs="Arial"/>
        </w:rPr>
        <w:t> Kč)</w:t>
      </w:r>
      <w:r w:rsidR="00230E5C" w:rsidRPr="0082670F">
        <w:rPr>
          <w:rFonts w:cs="Arial"/>
        </w:rPr>
        <w:t xml:space="preserve"> a</w:t>
      </w:r>
      <w:r w:rsidRPr="0082670F">
        <w:rPr>
          <w:rFonts w:cs="Arial"/>
        </w:rPr>
        <w:t xml:space="preserve"> </w:t>
      </w:r>
      <w:r w:rsidR="00314F3C" w:rsidRPr="0082670F">
        <w:rPr>
          <w:rFonts w:cs="Arial"/>
        </w:rPr>
        <w:t>p</w:t>
      </w:r>
      <w:r w:rsidRPr="0082670F">
        <w:rPr>
          <w:rFonts w:cs="Arial"/>
        </w:rPr>
        <w:t>ro kategorii 30–39 let byl medián nejvyšší (3</w:t>
      </w:r>
      <w:r w:rsidR="0082670F" w:rsidRPr="0082670F">
        <w:rPr>
          <w:rFonts w:cs="Arial"/>
        </w:rPr>
        <w:t>9</w:t>
      </w:r>
      <w:r w:rsidRPr="0082670F">
        <w:rPr>
          <w:rFonts w:cs="Arial"/>
        </w:rPr>
        <w:t> </w:t>
      </w:r>
      <w:r w:rsidR="0082670F" w:rsidRPr="0082670F">
        <w:rPr>
          <w:rFonts w:cs="Arial"/>
        </w:rPr>
        <w:t>387</w:t>
      </w:r>
      <w:r w:rsidRPr="0082670F">
        <w:rPr>
          <w:rFonts w:cs="Arial"/>
        </w:rPr>
        <w:t> Kč). V dalších věkových kategoriích se mzdy snižují</w:t>
      </w:r>
      <w:r w:rsidR="00314F3C" w:rsidRPr="0082670F">
        <w:rPr>
          <w:rFonts w:cs="Arial"/>
        </w:rPr>
        <w:t>, na 3</w:t>
      </w:r>
      <w:r w:rsidR="0082670F" w:rsidRPr="0082670F">
        <w:rPr>
          <w:rFonts w:cs="Arial"/>
        </w:rPr>
        <w:t>8</w:t>
      </w:r>
      <w:r w:rsidR="00314F3C" w:rsidRPr="0082670F">
        <w:rPr>
          <w:rFonts w:cs="Arial"/>
        </w:rPr>
        <w:t> </w:t>
      </w:r>
      <w:r w:rsidR="0082670F" w:rsidRPr="0082670F">
        <w:rPr>
          <w:rFonts w:cs="Arial"/>
        </w:rPr>
        <w:t>489</w:t>
      </w:r>
      <w:r w:rsidR="00314F3C" w:rsidRPr="0082670F">
        <w:rPr>
          <w:rFonts w:cs="Arial"/>
        </w:rPr>
        <w:t xml:space="preserve"> Kč pro nejpočetnější kategorii 40-49 let; </w:t>
      </w:r>
      <w:r w:rsidR="0082670F">
        <w:rPr>
          <w:rFonts w:cs="Arial"/>
        </w:rPr>
        <w:t xml:space="preserve">a shodně </w:t>
      </w:r>
      <w:r w:rsidR="00B76FE6">
        <w:rPr>
          <w:rFonts w:cs="Arial"/>
        </w:rPr>
        <w:t xml:space="preserve">na </w:t>
      </w:r>
      <w:r w:rsidR="00314F3C" w:rsidRPr="0082670F">
        <w:rPr>
          <w:rFonts w:cs="Arial"/>
        </w:rPr>
        <w:t>3</w:t>
      </w:r>
      <w:r w:rsidR="0082670F" w:rsidRPr="0082670F">
        <w:rPr>
          <w:rFonts w:cs="Arial"/>
        </w:rPr>
        <w:t>6</w:t>
      </w:r>
      <w:r w:rsidR="00314F3C" w:rsidRPr="0082670F">
        <w:rPr>
          <w:rFonts w:cs="Arial"/>
        </w:rPr>
        <w:t> </w:t>
      </w:r>
      <w:r w:rsidR="0082670F" w:rsidRPr="0082670F">
        <w:rPr>
          <w:rFonts w:cs="Arial"/>
        </w:rPr>
        <w:t xml:space="preserve">879 Kč pro </w:t>
      </w:r>
      <w:r w:rsidR="0082670F">
        <w:rPr>
          <w:rFonts w:cs="Arial"/>
        </w:rPr>
        <w:t>kategori</w:t>
      </w:r>
      <w:r w:rsidR="00B76FE6">
        <w:rPr>
          <w:rFonts w:cs="Arial"/>
        </w:rPr>
        <w:t>i</w:t>
      </w:r>
      <w:r w:rsidR="0082670F">
        <w:rPr>
          <w:rFonts w:cs="Arial"/>
        </w:rPr>
        <w:t xml:space="preserve"> </w:t>
      </w:r>
      <w:r w:rsidR="0082670F" w:rsidRPr="0082670F">
        <w:rPr>
          <w:rFonts w:cs="Arial"/>
        </w:rPr>
        <w:t xml:space="preserve">50-59 let </w:t>
      </w:r>
      <w:r w:rsidR="0082670F">
        <w:rPr>
          <w:rFonts w:cs="Arial"/>
        </w:rPr>
        <w:t>i</w:t>
      </w:r>
      <w:r w:rsidR="00314F3C" w:rsidRPr="0082670F">
        <w:rPr>
          <w:rFonts w:cs="Arial"/>
        </w:rPr>
        <w:t xml:space="preserve"> pr</w:t>
      </w:r>
      <w:r w:rsidR="00B76FE6">
        <w:rPr>
          <w:rFonts w:cs="Arial"/>
        </w:rPr>
        <w:t>o 60leté a </w:t>
      </w:r>
      <w:r w:rsidR="00314F3C" w:rsidRPr="0082670F">
        <w:rPr>
          <w:rFonts w:cs="Arial"/>
        </w:rPr>
        <w:t>starší</w:t>
      </w:r>
      <w:r w:rsidRPr="0082670F">
        <w:rPr>
          <w:rFonts w:cs="Arial"/>
        </w:rPr>
        <w:t>.</w:t>
      </w:r>
      <w:r w:rsidR="00314F3C" w:rsidRPr="0082670F">
        <w:rPr>
          <w:rFonts w:cs="Arial"/>
        </w:rPr>
        <w:t xml:space="preserve"> Meziroční nár</w:t>
      </w:r>
      <w:r w:rsidR="0082670F">
        <w:rPr>
          <w:rFonts w:cs="Arial"/>
        </w:rPr>
        <w:t>ůsty mediánů se příliš nelišily</w:t>
      </w:r>
      <w:r w:rsidR="00314F3C" w:rsidRPr="0082670F">
        <w:rPr>
          <w:rFonts w:cs="Arial"/>
        </w:rPr>
        <w:t>.</w:t>
      </w:r>
    </w:p>
    <w:p w14:paraId="5494E13E" w14:textId="77777777" w:rsidR="00A46E8F" w:rsidRPr="0039199A" w:rsidRDefault="00A46E8F" w:rsidP="00A46E8F">
      <w:pPr>
        <w:rPr>
          <w:rFonts w:cs="Arial"/>
          <w:color w:val="E36C0A" w:themeColor="accent6" w:themeShade="BF"/>
        </w:rPr>
      </w:pPr>
      <w:r w:rsidRPr="0082670F">
        <w:rPr>
          <w:rFonts w:cs="Arial"/>
        </w:rPr>
        <w:t xml:space="preserve">Mzdy jsou také značně strukturované podle stupně dosaženého </w:t>
      </w:r>
      <w:r w:rsidRPr="0082670F">
        <w:rPr>
          <w:rFonts w:cs="Arial"/>
          <w:b/>
        </w:rPr>
        <w:t xml:space="preserve">vzdělání </w:t>
      </w:r>
      <w:r w:rsidRPr="0082670F">
        <w:rPr>
          <w:rFonts w:cs="Arial"/>
        </w:rPr>
        <w:t>zaměstnance</w:t>
      </w:r>
      <w:r w:rsidR="00A0404D">
        <w:rPr>
          <w:rFonts w:cs="Arial"/>
        </w:rPr>
        <w:t>.</w:t>
      </w:r>
      <w:r w:rsidRPr="0082670F">
        <w:rPr>
          <w:rFonts w:cs="Arial"/>
        </w:rPr>
        <w:t xml:space="preserve"> </w:t>
      </w:r>
      <w:r w:rsidR="00A0404D">
        <w:rPr>
          <w:rFonts w:cs="Arial"/>
        </w:rPr>
        <w:t>N</w:t>
      </w:r>
      <w:r w:rsidRPr="0082670F">
        <w:rPr>
          <w:rFonts w:cs="Arial"/>
        </w:rPr>
        <w:t>ejvyšší výdělky pobíra</w:t>
      </w:r>
      <w:r w:rsidR="00B76FE6">
        <w:rPr>
          <w:rFonts w:cs="Arial"/>
        </w:rPr>
        <w:t>jí</w:t>
      </w:r>
      <w:r w:rsidRPr="0082670F">
        <w:rPr>
          <w:rFonts w:cs="Arial"/>
        </w:rPr>
        <w:t xml:space="preserve"> vysokoškoláci, prostřední mzda u nich byla </w:t>
      </w:r>
      <w:r w:rsidR="00314F3C" w:rsidRPr="0082670F">
        <w:rPr>
          <w:rFonts w:cs="Arial"/>
        </w:rPr>
        <w:t>5</w:t>
      </w:r>
      <w:r w:rsidR="0082670F" w:rsidRPr="0082670F">
        <w:rPr>
          <w:rFonts w:cs="Arial"/>
        </w:rPr>
        <w:t>2</w:t>
      </w:r>
      <w:r w:rsidRPr="0082670F">
        <w:rPr>
          <w:rFonts w:cs="Arial"/>
        </w:rPr>
        <w:t> </w:t>
      </w:r>
      <w:r w:rsidR="0082670F" w:rsidRPr="0082670F">
        <w:rPr>
          <w:rFonts w:cs="Arial"/>
        </w:rPr>
        <w:t>865</w:t>
      </w:r>
      <w:r w:rsidRPr="0082670F">
        <w:rPr>
          <w:rFonts w:cs="Arial"/>
        </w:rPr>
        <w:t> Kč. Mzdy zaměstnanců se základním či nedokončeným vzděláním zůstaly naopak nejnižší (2</w:t>
      </w:r>
      <w:r w:rsidR="0082670F" w:rsidRPr="0082670F">
        <w:rPr>
          <w:rFonts w:cs="Arial"/>
        </w:rPr>
        <w:t>8</w:t>
      </w:r>
      <w:r w:rsidRPr="0082670F">
        <w:rPr>
          <w:rFonts w:cs="Arial"/>
        </w:rPr>
        <w:t> </w:t>
      </w:r>
      <w:r w:rsidR="0082670F" w:rsidRPr="0082670F">
        <w:rPr>
          <w:rFonts w:cs="Arial"/>
        </w:rPr>
        <w:t>774</w:t>
      </w:r>
      <w:r w:rsidRPr="0082670F">
        <w:rPr>
          <w:rFonts w:cs="Arial"/>
        </w:rPr>
        <w:t> </w:t>
      </w:r>
      <w:r w:rsidRPr="00A0404D">
        <w:rPr>
          <w:rFonts w:cs="Arial"/>
        </w:rPr>
        <w:t>Kč). Středoškoláci s maturitou si vydělali mnohem více (3</w:t>
      </w:r>
      <w:r w:rsidR="00A0404D" w:rsidRPr="00A0404D">
        <w:rPr>
          <w:rFonts w:cs="Arial"/>
        </w:rPr>
        <w:t>8</w:t>
      </w:r>
      <w:r w:rsidRPr="00A0404D">
        <w:rPr>
          <w:rFonts w:cs="Arial"/>
        </w:rPr>
        <w:t> </w:t>
      </w:r>
      <w:r w:rsidR="00A0404D" w:rsidRPr="00A0404D">
        <w:rPr>
          <w:rFonts w:cs="Arial"/>
        </w:rPr>
        <w:t>204</w:t>
      </w:r>
      <w:r w:rsidR="00314F3C" w:rsidRPr="00A0404D">
        <w:rPr>
          <w:rFonts w:cs="Arial"/>
        </w:rPr>
        <w:t> Kč) než ti bez ní (3</w:t>
      </w:r>
      <w:r w:rsidR="00A0404D" w:rsidRPr="00A0404D">
        <w:rPr>
          <w:rFonts w:cs="Arial"/>
        </w:rPr>
        <w:t>1</w:t>
      </w:r>
      <w:r w:rsidRPr="00A0404D">
        <w:rPr>
          <w:rFonts w:cs="Arial"/>
        </w:rPr>
        <w:t> </w:t>
      </w:r>
      <w:r w:rsidR="00A0404D" w:rsidRPr="00A0404D">
        <w:rPr>
          <w:rFonts w:cs="Arial"/>
        </w:rPr>
        <w:t>646</w:t>
      </w:r>
      <w:r w:rsidRPr="00A0404D">
        <w:rPr>
          <w:rFonts w:cs="Arial"/>
        </w:rPr>
        <w:t> Kč), ale méně než zaměstnanci s vyšším odborným</w:t>
      </w:r>
      <w:r w:rsidR="00314F3C" w:rsidRPr="00A0404D">
        <w:rPr>
          <w:rFonts w:cs="Arial"/>
        </w:rPr>
        <w:t>, resp. bakalářským vzděláním (4</w:t>
      </w:r>
      <w:r w:rsidR="00A0404D" w:rsidRPr="00A0404D">
        <w:rPr>
          <w:rFonts w:cs="Arial"/>
        </w:rPr>
        <w:t>3</w:t>
      </w:r>
      <w:r w:rsidR="00314F3C" w:rsidRPr="00A0404D">
        <w:rPr>
          <w:rFonts w:cs="Arial"/>
        </w:rPr>
        <w:t> </w:t>
      </w:r>
      <w:r w:rsidR="00A0404D" w:rsidRPr="00A0404D">
        <w:rPr>
          <w:rFonts w:cs="Arial"/>
        </w:rPr>
        <w:t>566</w:t>
      </w:r>
      <w:r w:rsidRPr="00A0404D">
        <w:rPr>
          <w:rFonts w:cs="Arial"/>
        </w:rPr>
        <w:t> Kč).</w:t>
      </w:r>
      <w:r w:rsidR="00E42EB7" w:rsidRPr="00A0404D">
        <w:rPr>
          <w:rFonts w:cs="Arial"/>
        </w:rPr>
        <w:t xml:space="preserve"> Nejrychleji rostly mzdy u méně vzdělaných zaměstnanců, nejvíce (o </w:t>
      </w:r>
      <w:r w:rsidR="00A0404D" w:rsidRPr="00A0404D">
        <w:rPr>
          <w:rFonts w:cs="Arial"/>
        </w:rPr>
        <w:t>8,</w:t>
      </w:r>
      <w:r w:rsidR="00E42EB7" w:rsidRPr="00A0404D">
        <w:rPr>
          <w:rFonts w:cs="Arial"/>
        </w:rPr>
        <w:t xml:space="preserve">7 %) vzrostl </w:t>
      </w:r>
      <w:r w:rsidR="00A0404D" w:rsidRPr="00A0404D">
        <w:rPr>
          <w:rFonts w:cs="Arial"/>
        </w:rPr>
        <w:t>devátý</w:t>
      </w:r>
      <w:r w:rsidR="00E42EB7" w:rsidRPr="00A0404D">
        <w:rPr>
          <w:rFonts w:cs="Arial"/>
        </w:rPr>
        <w:t xml:space="preserve"> decil </w:t>
      </w:r>
      <w:r w:rsidR="00B76FE6">
        <w:rPr>
          <w:rFonts w:cs="Arial"/>
        </w:rPr>
        <w:t>u </w:t>
      </w:r>
      <w:r w:rsidR="00A0404D" w:rsidRPr="00A0404D">
        <w:rPr>
          <w:rFonts w:cs="Arial"/>
        </w:rPr>
        <w:t xml:space="preserve">středního </w:t>
      </w:r>
      <w:r w:rsidR="00E42EB7" w:rsidRPr="00A0404D">
        <w:rPr>
          <w:rFonts w:cs="Arial"/>
        </w:rPr>
        <w:t>vzdělání</w:t>
      </w:r>
      <w:r w:rsidR="00A0404D" w:rsidRPr="00A0404D">
        <w:rPr>
          <w:rFonts w:cs="Arial"/>
        </w:rPr>
        <w:t xml:space="preserve"> bez maturity</w:t>
      </w:r>
      <w:r w:rsidR="00E42EB7" w:rsidRPr="00A0404D">
        <w:rPr>
          <w:rFonts w:cs="Arial"/>
        </w:rPr>
        <w:t xml:space="preserve">. Nejmenší nárůst byl naopak u vyššího odborného a bakalářského vzdělání </w:t>
      </w:r>
      <w:r w:rsidR="00A0404D" w:rsidRPr="00A0404D">
        <w:rPr>
          <w:rFonts w:cs="Arial"/>
        </w:rPr>
        <w:t>ve střední a vyšší oblasti (medián o 4,4 %, devátý decil o 3,3 %)</w:t>
      </w:r>
      <w:r w:rsidR="00A0404D">
        <w:rPr>
          <w:rFonts w:cs="Arial"/>
        </w:rPr>
        <w:t>, slab</w:t>
      </w:r>
      <w:r w:rsidR="006A434B">
        <w:rPr>
          <w:rFonts w:cs="Arial"/>
        </w:rPr>
        <w:t xml:space="preserve">ší </w:t>
      </w:r>
      <w:r w:rsidR="00A0404D">
        <w:rPr>
          <w:rFonts w:cs="Arial"/>
        </w:rPr>
        <w:t>byl také u vysokoškoláků</w:t>
      </w:r>
      <w:r w:rsidR="00E42EB7" w:rsidRPr="00A0404D">
        <w:rPr>
          <w:rFonts w:cs="Arial"/>
        </w:rPr>
        <w:t>.</w:t>
      </w:r>
    </w:p>
    <w:p w14:paraId="6E91F2BE" w14:textId="77777777" w:rsidR="005F699D" w:rsidRDefault="005F699D" w:rsidP="00E42E00"/>
    <w:p w14:paraId="701A6073" w14:textId="77777777" w:rsidR="00D27D69" w:rsidRDefault="00D27D69" w:rsidP="00E42E00"/>
    <w:p w14:paraId="3EF31EAD" w14:textId="77777777" w:rsidR="007B1333" w:rsidRDefault="007B1333" w:rsidP="00E42E00">
      <w:pPr>
        <w:rPr>
          <w:b/>
        </w:rPr>
      </w:pPr>
      <w:r>
        <w:rPr>
          <w:b/>
        </w:rPr>
        <w:t>Autor/Kontakt/Zpracoval</w:t>
      </w:r>
    </w:p>
    <w:p w14:paraId="0FECB947" w14:textId="77777777" w:rsidR="007B1333" w:rsidRDefault="00A46E8F" w:rsidP="00E42E00">
      <w:r>
        <w:t>Dalibor Holý</w:t>
      </w:r>
    </w:p>
    <w:p w14:paraId="078C97E3" w14:textId="77777777" w:rsidR="00A46E8F" w:rsidRDefault="007B1333" w:rsidP="00A46E8F">
      <w:r>
        <w:t>Odbor</w:t>
      </w:r>
      <w:r w:rsidR="00A46E8F" w:rsidRPr="00A46E8F">
        <w:t xml:space="preserve"> </w:t>
      </w:r>
      <w:r w:rsidR="00A46E8F" w:rsidRPr="000571A0">
        <w:t>statistiky trhu práce a rovných příležitostí ČSÚ</w:t>
      </w:r>
    </w:p>
    <w:p w14:paraId="37AB90B2" w14:textId="77777777" w:rsidR="00A46E8F" w:rsidRDefault="00A46E8F" w:rsidP="00A46E8F">
      <w:r>
        <w:t>Tel.: +420 274 052 694</w:t>
      </w:r>
    </w:p>
    <w:p w14:paraId="4BDABD1A" w14:textId="77777777" w:rsidR="004920AD" w:rsidRPr="004920AD" w:rsidRDefault="00A46E8F" w:rsidP="00E42E00">
      <w:r>
        <w:t xml:space="preserve">E-mail: </w:t>
      </w:r>
      <w:hyperlink r:id="rId11" w:history="1">
        <w:r w:rsidRPr="00B23010">
          <w:rPr>
            <w:rStyle w:val="Hypertextovodkaz"/>
          </w:rPr>
          <w:t>dalibor.holy@czso.cz</w:t>
        </w:r>
      </w:hyperlink>
    </w:p>
    <w:sectPr w:rsidR="004920AD" w:rsidRPr="004920AD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3C1A" w14:textId="77777777" w:rsidR="000D6C7D" w:rsidRDefault="000D6C7D" w:rsidP="00BA6370">
      <w:r>
        <w:separator/>
      </w:r>
    </w:p>
  </w:endnote>
  <w:endnote w:type="continuationSeparator" w:id="0">
    <w:p w14:paraId="6F64A655" w14:textId="77777777" w:rsidR="000D6C7D" w:rsidRDefault="000D6C7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22FF" w14:textId="77777777" w:rsidR="00E560DB" w:rsidRPr="00BD400F" w:rsidRDefault="00E560DB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0ED54" w14:textId="77777777" w:rsidR="00E560DB" w:rsidRPr="001404AB" w:rsidRDefault="00E560DB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3D914C" w14:textId="42C3568F" w:rsidR="00E560DB" w:rsidRPr="00A81EB3" w:rsidRDefault="00E560DB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: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D5195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D20ED54" w14:textId="77777777" w:rsidR="00E560DB" w:rsidRPr="001404AB" w:rsidRDefault="00E560DB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3D914C" w14:textId="42C3568F" w:rsidR="00E560DB" w:rsidRPr="00A81EB3" w:rsidRDefault="00E560DB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>: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u w:val="none"/>
                        </w:rPr>
                        <w:t xml:space="preserve"> 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D5195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A6133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EC05" w14:textId="77777777" w:rsidR="000D6C7D" w:rsidRDefault="000D6C7D" w:rsidP="00BA6370">
      <w:r>
        <w:separator/>
      </w:r>
    </w:p>
  </w:footnote>
  <w:footnote w:type="continuationSeparator" w:id="0">
    <w:p w14:paraId="6A9A6CBB" w14:textId="77777777" w:rsidR="000D6C7D" w:rsidRDefault="000D6C7D" w:rsidP="00BA6370">
      <w:r>
        <w:continuationSeparator/>
      </w:r>
    </w:p>
  </w:footnote>
  <w:footnote w:id="1">
    <w:p w14:paraId="414A37DF" w14:textId="77777777" w:rsidR="00E560DB" w:rsidRDefault="00E560DB" w:rsidP="00A46E8F">
      <w:pPr>
        <w:pStyle w:val="Textpoznpodarou"/>
      </w:pPr>
      <w:r w:rsidRPr="0043723E">
        <w:rPr>
          <w:rStyle w:val="Znakapoznpodarou"/>
        </w:rPr>
        <w:footnoteRef/>
      </w:r>
      <w:r w:rsidRPr="0043723E">
        <w:t xml:space="preserve"> </w:t>
      </w:r>
      <w:r w:rsidRPr="0043723E">
        <w:rPr>
          <w:sz w:val="18"/>
        </w:rPr>
        <w:t xml:space="preserve">Za nízkovýdělkového zaměstnance je obecně považován takový, který pobírá méně než 2/3 celkové mediánové mzdy, </w:t>
      </w:r>
      <w:r>
        <w:rPr>
          <w:sz w:val="18"/>
        </w:rPr>
        <w:t xml:space="preserve">podle předběžných výsledků </w:t>
      </w:r>
      <w:r w:rsidRPr="0082670F">
        <w:rPr>
          <w:sz w:val="18"/>
        </w:rPr>
        <w:t xml:space="preserve">ISPV za </w:t>
      </w:r>
      <w:r w:rsidR="00D004BA" w:rsidRPr="0082670F">
        <w:rPr>
          <w:sz w:val="18"/>
        </w:rPr>
        <w:t>rok</w:t>
      </w:r>
      <w:r w:rsidRPr="0082670F">
        <w:rPr>
          <w:sz w:val="18"/>
        </w:rPr>
        <w:t xml:space="preserve"> 2022 šlo</w:t>
      </w:r>
      <w:r w:rsidRPr="0043723E">
        <w:rPr>
          <w:sz w:val="18"/>
        </w:rPr>
        <w:t xml:space="preserve"> </w:t>
      </w:r>
      <w:r w:rsidRPr="006B18FD">
        <w:rPr>
          <w:sz w:val="18"/>
        </w:rPr>
        <w:t xml:space="preserve">o hranici </w:t>
      </w:r>
      <w:r w:rsidR="0082670F">
        <w:rPr>
          <w:sz w:val="18"/>
        </w:rPr>
        <w:t>24 941</w:t>
      </w:r>
      <w:r w:rsidRPr="006B18FD">
        <w:rPr>
          <w:sz w:val="18"/>
        </w:rPr>
        <w:t> 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4FC39" w14:textId="77777777" w:rsidR="00E560DB" w:rsidRDefault="00E560D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C7F09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8F"/>
    <w:rsid w:val="000164EB"/>
    <w:rsid w:val="00034E23"/>
    <w:rsid w:val="00042987"/>
    <w:rsid w:val="00043BF4"/>
    <w:rsid w:val="00051E4A"/>
    <w:rsid w:val="000728BE"/>
    <w:rsid w:val="0008391B"/>
    <w:rsid w:val="000843A5"/>
    <w:rsid w:val="000878A9"/>
    <w:rsid w:val="0009748F"/>
    <w:rsid w:val="000B07ED"/>
    <w:rsid w:val="000B6F63"/>
    <w:rsid w:val="000C14D9"/>
    <w:rsid w:val="000C19CE"/>
    <w:rsid w:val="000C6FCF"/>
    <w:rsid w:val="000D6C7D"/>
    <w:rsid w:val="000F5B28"/>
    <w:rsid w:val="000F6E91"/>
    <w:rsid w:val="00125FFD"/>
    <w:rsid w:val="00127216"/>
    <w:rsid w:val="00134499"/>
    <w:rsid w:val="001404AB"/>
    <w:rsid w:val="00162A2C"/>
    <w:rsid w:val="001658A9"/>
    <w:rsid w:val="0017231D"/>
    <w:rsid w:val="00175712"/>
    <w:rsid w:val="00175ABA"/>
    <w:rsid w:val="001810DC"/>
    <w:rsid w:val="001A59BF"/>
    <w:rsid w:val="001B0DFD"/>
    <w:rsid w:val="001B4AA4"/>
    <w:rsid w:val="001B607F"/>
    <w:rsid w:val="001C4015"/>
    <w:rsid w:val="001D10A9"/>
    <w:rsid w:val="001D2496"/>
    <w:rsid w:val="001D369A"/>
    <w:rsid w:val="001E4AA2"/>
    <w:rsid w:val="001F6C45"/>
    <w:rsid w:val="002070FB"/>
    <w:rsid w:val="00213729"/>
    <w:rsid w:val="00227325"/>
    <w:rsid w:val="00230567"/>
    <w:rsid w:val="00230E5C"/>
    <w:rsid w:val="00237262"/>
    <w:rsid w:val="002406FA"/>
    <w:rsid w:val="00247632"/>
    <w:rsid w:val="00252D4A"/>
    <w:rsid w:val="00253201"/>
    <w:rsid w:val="00256F2C"/>
    <w:rsid w:val="002672D0"/>
    <w:rsid w:val="00294886"/>
    <w:rsid w:val="0029661D"/>
    <w:rsid w:val="002B2E47"/>
    <w:rsid w:val="002B6952"/>
    <w:rsid w:val="002D6A6C"/>
    <w:rsid w:val="00304F59"/>
    <w:rsid w:val="00312FF0"/>
    <w:rsid w:val="00314F3C"/>
    <w:rsid w:val="0031570F"/>
    <w:rsid w:val="003216E0"/>
    <w:rsid w:val="00321A9A"/>
    <w:rsid w:val="003301A3"/>
    <w:rsid w:val="0036777B"/>
    <w:rsid w:val="00377710"/>
    <w:rsid w:val="00381F65"/>
    <w:rsid w:val="0038282A"/>
    <w:rsid w:val="00386242"/>
    <w:rsid w:val="00387A17"/>
    <w:rsid w:val="0039199A"/>
    <w:rsid w:val="00397580"/>
    <w:rsid w:val="003A1794"/>
    <w:rsid w:val="003A45C8"/>
    <w:rsid w:val="003B5241"/>
    <w:rsid w:val="003C2DCF"/>
    <w:rsid w:val="003C772C"/>
    <w:rsid w:val="003C7FE7"/>
    <w:rsid w:val="003D0499"/>
    <w:rsid w:val="003F526A"/>
    <w:rsid w:val="00405244"/>
    <w:rsid w:val="00422F91"/>
    <w:rsid w:val="004436EE"/>
    <w:rsid w:val="00446AA2"/>
    <w:rsid w:val="0045076F"/>
    <w:rsid w:val="0045547F"/>
    <w:rsid w:val="00460D15"/>
    <w:rsid w:val="00461AA0"/>
    <w:rsid w:val="00481007"/>
    <w:rsid w:val="004920AD"/>
    <w:rsid w:val="00493A56"/>
    <w:rsid w:val="004D05B3"/>
    <w:rsid w:val="004D605C"/>
    <w:rsid w:val="004E479E"/>
    <w:rsid w:val="004F78E6"/>
    <w:rsid w:val="00512D99"/>
    <w:rsid w:val="005156CC"/>
    <w:rsid w:val="00531DBB"/>
    <w:rsid w:val="005320B3"/>
    <w:rsid w:val="00532A77"/>
    <w:rsid w:val="00544B6D"/>
    <w:rsid w:val="005520DA"/>
    <w:rsid w:val="00553DAA"/>
    <w:rsid w:val="005646B3"/>
    <w:rsid w:val="00565E31"/>
    <w:rsid w:val="00576430"/>
    <w:rsid w:val="0058636C"/>
    <w:rsid w:val="00594733"/>
    <w:rsid w:val="005C02A2"/>
    <w:rsid w:val="005C4882"/>
    <w:rsid w:val="005F699D"/>
    <w:rsid w:val="005F723D"/>
    <w:rsid w:val="005F79FB"/>
    <w:rsid w:val="00604406"/>
    <w:rsid w:val="00605F4A"/>
    <w:rsid w:val="00607822"/>
    <w:rsid w:val="006103AA"/>
    <w:rsid w:val="006139A7"/>
    <w:rsid w:val="00613BBF"/>
    <w:rsid w:val="0061425A"/>
    <w:rsid w:val="00622B80"/>
    <w:rsid w:val="0064139A"/>
    <w:rsid w:val="006426AB"/>
    <w:rsid w:val="00645F63"/>
    <w:rsid w:val="00663400"/>
    <w:rsid w:val="006A434B"/>
    <w:rsid w:val="006B18FD"/>
    <w:rsid w:val="006C09DD"/>
    <w:rsid w:val="006C1EE4"/>
    <w:rsid w:val="006C4A5C"/>
    <w:rsid w:val="006E024F"/>
    <w:rsid w:val="006E1772"/>
    <w:rsid w:val="006E4E81"/>
    <w:rsid w:val="006F21D4"/>
    <w:rsid w:val="00707F7D"/>
    <w:rsid w:val="00717EC5"/>
    <w:rsid w:val="007267BF"/>
    <w:rsid w:val="00732C3F"/>
    <w:rsid w:val="00737B80"/>
    <w:rsid w:val="00742313"/>
    <w:rsid w:val="00745E06"/>
    <w:rsid w:val="00752118"/>
    <w:rsid w:val="007601B3"/>
    <w:rsid w:val="0076477B"/>
    <w:rsid w:val="00797D13"/>
    <w:rsid w:val="007A4B39"/>
    <w:rsid w:val="007A57F2"/>
    <w:rsid w:val="007A799C"/>
    <w:rsid w:val="007B1333"/>
    <w:rsid w:val="007E148A"/>
    <w:rsid w:val="007E23A3"/>
    <w:rsid w:val="007F4AEB"/>
    <w:rsid w:val="007F5777"/>
    <w:rsid w:val="007F75B2"/>
    <w:rsid w:val="008043C4"/>
    <w:rsid w:val="00815588"/>
    <w:rsid w:val="00824223"/>
    <w:rsid w:val="0082670F"/>
    <w:rsid w:val="00830309"/>
    <w:rsid w:val="00831B1B"/>
    <w:rsid w:val="00831B7A"/>
    <w:rsid w:val="008425C7"/>
    <w:rsid w:val="00846DF1"/>
    <w:rsid w:val="0085380D"/>
    <w:rsid w:val="00861D0E"/>
    <w:rsid w:val="00867569"/>
    <w:rsid w:val="008853BD"/>
    <w:rsid w:val="008A18A9"/>
    <w:rsid w:val="008A750A"/>
    <w:rsid w:val="008B2E87"/>
    <w:rsid w:val="008C384C"/>
    <w:rsid w:val="008D0F11"/>
    <w:rsid w:val="008F0EEC"/>
    <w:rsid w:val="008F73B4"/>
    <w:rsid w:val="00901E38"/>
    <w:rsid w:val="0090741A"/>
    <w:rsid w:val="00913213"/>
    <w:rsid w:val="00931A52"/>
    <w:rsid w:val="009628C8"/>
    <w:rsid w:val="00966508"/>
    <w:rsid w:val="00982467"/>
    <w:rsid w:val="009864CD"/>
    <w:rsid w:val="009874EF"/>
    <w:rsid w:val="009B121C"/>
    <w:rsid w:val="009B55B1"/>
    <w:rsid w:val="009B7B9F"/>
    <w:rsid w:val="009F1542"/>
    <w:rsid w:val="009F6245"/>
    <w:rsid w:val="00A0404D"/>
    <w:rsid w:val="00A24CCA"/>
    <w:rsid w:val="00A4343D"/>
    <w:rsid w:val="00A46E8F"/>
    <w:rsid w:val="00A502F1"/>
    <w:rsid w:val="00A56C80"/>
    <w:rsid w:val="00A62C03"/>
    <w:rsid w:val="00A65227"/>
    <w:rsid w:val="00A70A83"/>
    <w:rsid w:val="00A71452"/>
    <w:rsid w:val="00A73137"/>
    <w:rsid w:val="00A81EB3"/>
    <w:rsid w:val="00AD13FF"/>
    <w:rsid w:val="00AD6F65"/>
    <w:rsid w:val="00B00C1D"/>
    <w:rsid w:val="00B171F8"/>
    <w:rsid w:val="00B22C44"/>
    <w:rsid w:val="00B33194"/>
    <w:rsid w:val="00B45553"/>
    <w:rsid w:val="00B56F38"/>
    <w:rsid w:val="00B76FE6"/>
    <w:rsid w:val="00BA439F"/>
    <w:rsid w:val="00BA6370"/>
    <w:rsid w:val="00BB1DF9"/>
    <w:rsid w:val="00BC748B"/>
    <w:rsid w:val="00BD400F"/>
    <w:rsid w:val="00BF73A7"/>
    <w:rsid w:val="00C269D4"/>
    <w:rsid w:val="00C2713F"/>
    <w:rsid w:val="00C40735"/>
    <w:rsid w:val="00C4160D"/>
    <w:rsid w:val="00C50409"/>
    <w:rsid w:val="00C61306"/>
    <w:rsid w:val="00C71852"/>
    <w:rsid w:val="00C723E4"/>
    <w:rsid w:val="00C8406E"/>
    <w:rsid w:val="00CA73A6"/>
    <w:rsid w:val="00CB0D30"/>
    <w:rsid w:val="00CB2709"/>
    <w:rsid w:val="00CB6F89"/>
    <w:rsid w:val="00CC2183"/>
    <w:rsid w:val="00CE228C"/>
    <w:rsid w:val="00CF545B"/>
    <w:rsid w:val="00D004BA"/>
    <w:rsid w:val="00D0524D"/>
    <w:rsid w:val="00D13EFA"/>
    <w:rsid w:val="00D25B75"/>
    <w:rsid w:val="00D27D69"/>
    <w:rsid w:val="00D448C2"/>
    <w:rsid w:val="00D50D14"/>
    <w:rsid w:val="00D5798B"/>
    <w:rsid w:val="00D666C3"/>
    <w:rsid w:val="00DA260B"/>
    <w:rsid w:val="00DA5FA5"/>
    <w:rsid w:val="00DD1EAE"/>
    <w:rsid w:val="00DD5195"/>
    <w:rsid w:val="00DF47FE"/>
    <w:rsid w:val="00E04789"/>
    <w:rsid w:val="00E10E55"/>
    <w:rsid w:val="00E12B6A"/>
    <w:rsid w:val="00E20B47"/>
    <w:rsid w:val="00E2115D"/>
    <w:rsid w:val="00E2147D"/>
    <w:rsid w:val="00E26079"/>
    <w:rsid w:val="00E26704"/>
    <w:rsid w:val="00E31980"/>
    <w:rsid w:val="00E3576E"/>
    <w:rsid w:val="00E42E00"/>
    <w:rsid w:val="00E42EB7"/>
    <w:rsid w:val="00E542A9"/>
    <w:rsid w:val="00E560DB"/>
    <w:rsid w:val="00E6423C"/>
    <w:rsid w:val="00E93830"/>
    <w:rsid w:val="00E93E0E"/>
    <w:rsid w:val="00EA712F"/>
    <w:rsid w:val="00EA7B94"/>
    <w:rsid w:val="00EB1ED3"/>
    <w:rsid w:val="00EB337C"/>
    <w:rsid w:val="00EB4B5C"/>
    <w:rsid w:val="00EC2D51"/>
    <w:rsid w:val="00ED7B69"/>
    <w:rsid w:val="00EE47C4"/>
    <w:rsid w:val="00F01ABB"/>
    <w:rsid w:val="00F13564"/>
    <w:rsid w:val="00F26395"/>
    <w:rsid w:val="00F32DA4"/>
    <w:rsid w:val="00F4610D"/>
    <w:rsid w:val="00F61D27"/>
    <w:rsid w:val="00F928C3"/>
    <w:rsid w:val="00FB687C"/>
    <w:rsid w:val="00FD5458"/>
    <w:rsid w:val="00FE1393"/>
    <w:rsid w:val="00FE4C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1930AA9E"/>
  <w15:docId w15:val="{4995CC66-ECCF-4AB7-B8AE-AFB83A70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A46E8F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46E8F"/>
    <w:rPr>
      <w:rFonts w:ascii="Arial" w:eastAsia="Times New Roman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E8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E8F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A46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y2795\Downloads\Anal&#253;za%20CZ_2022-02-0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y2795\Desktop\_disk_D\U\ODBOR\RI\MZDY\4q2022\Graf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65034087720167"/>
          <c:y val="3.8596491228070177E-2"/>
          <c:w val="0.49096601132405621"/>
          <c:h val="0.88000607818759502"/>
        </c:manualLayout>
      </c:layout>
      <c:lineChart>
        <c:grouping val="standard"/>
        <c:varyColors val="0"/>
        <c:ser>
          <c:idx val="9"/>
          <c:order val="0"/>
          <c:tx>
            <c:strRef>
              <c:f>List1!$B$14</c:f>
              <c:strCache>
                <c:ptCount val="1"/>
                <c:pt idx="0">
                  <c:v>Informační a komunikační činnosti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List1!$C$14:$G$14</c:f>
              <c:numCache>
                <c:formatCode>#,##0</c:formatCode>
                <c:ptCount val="5"/>
                <c:pt idx="0">
                  <c:v>56724</c:v>
                </c:pt>
                <c:pt idx="1">
                  <c:v>59207</c:v>
                </c:pt>
                <c:pt idx="2">
                  <c:v>62317</c:v>
                </c:pt>
                <c:pt idx="3">
                  <c:v>65351</c:v>
                </c:pt>
                <c:pt idx="4">
                  <c:v>71359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0B-46F1-B4BB-F86EEA4E2760}"/>
            </c:ext>
          </c:extLst>
        </c:ser>
        <c:ser>
          <c:idx val="10"/>
          <c:order val="1"/>
          <c:tx>
            <c:strRef>
              <c:f>List1!$B$15</c:f>
              <c:strCache>
                <c:ptCount val="1"/>
                <c:pt idx="0">
                  <c:v>Peněžnictví a pojišťovnictví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List1!$C$15:$G$15</c:f>
              <c:numCache>
                <c:formatCode>#,##0</c:formatCode>
                <c:ptCount val="5"/>
                <c:pt idx="0">
                  <c:v>54882</c:v>
                </c:pt>
                <c:pt idx="1">
                  <c:v>59181</c:v>
                </c:pt>
                <c:pt idx="2">
                  <c:v>59578</c:v>
                </c:pt>
                <c:pt idx="3">
                  <c:v>61469</c:v>
                </c:pt>
                <c:pt idx="4">
                  <c:v>68030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0B-46F1-B4BB-F86EEA4E2760}"/>
            </c:ext>
          </c:extLst>
        </c:ser>
        <c:ser>
          <c:idx val="3"/>
          <c:order val="2"/>
          <c:tx>
            <c:strRef>
              <c:f>List1!$B$8</c:f>
              <c:strCache>
                <c:ptCount val="1"/>
                <c:pt idx="0">
                  <c:v>Výroba a rozvod elektřiny, plynu…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List1!$C$8:$G$8</c:f>
              <c:numCache>
                <c:formatCode>#,##0</c:formatCode>
                <c:ptCount val="5"/>
                <c:pt idx="0">
                  <c:v>46375</c:v>
                </c:pt>
                <c:pt idx="1">
                  <c:v>49480</c:v>
                </c:pt>
                <c:pt idx="2">
                  <c:v>52509</c:v>
                </c:pt>
                <c:pt idx="3">
                  <c:v>54763</c:v>
                </c:pt>
                <c:pt idx="4">
                  <c:v>59707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0B-46F1-B4BB-F86EEA4E2760}"/>
            </c:ext>
          </c:extLst>
        </c:ser>
        <c:ser>
          <c:idx val="16"/>
          <c:order val="3"/>
          <c:tx>
            <c:strRef>
              <c:f>List1!$B$21</c:f>
              <c:strCache>
                <c:ptCount val="1"/>
                <c:pt idx="0">
                  <c:v>Zdravotní a sociální péče</c:v>
                </c:pt>
              </c:strCache>
            </c:strRef>
          </c:tx>
          <c:spPr>
            <a:ln w="2540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List1!$C$21:$G$21</c:f>
              <c:numCache>
                <c:formatCode>#,##0</c:formatCode>
                <c:ptCount val="5"/>
                <c:pt idx="0">
                  <c:v>33871</c:v>
                </c:pt>
                <c:pt idx="1">
                  <c:v>37331</c:v>
                </c:pt>
                <c:pt idx="2">
                  <c:v>41751</c:v>
                </c:pt>
                <c:pt idx="3">
                  <c:v>46392</c:v>
                </c:pt>
                <c:pt idx="4">
                  <c:v>44417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0B-46F1-B4BB-F86EEA4E2760}"/>
            </c:ext>
          </c:extLst>
        </c:ser>
        <c:ser>
          <c:idx val="14"/>
          <c:order val="4"/>
          <c:tx>
            <c:strRef>
              <c:f>List1!$B$19</c:f>
              <c:strCache>
                <c:ptCount val="1"/>
                <c:pt idx="0">
                  <c:v>Veřejná správa a obrana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List1!$C$19:$G$19</c:f>
              <c:numCache>
                <c:formatCode>#,##0</c:formatCode>
                <c:ptCount val="5"/>
                <c:pt idx="0">
                  <c:v>36323</c:v>
                </c:pt>
                <c:pt idx="1">
                  <c:v>38695</c:v>
                </c:pt>
                <c:pt idx="2">
                  <c:v>40787</c:v>
                </c:pt>
                <c:pt idx="3">
                  <c:v>41181</c:v>
                </c:pt>
                <c:pt idx="4">
                  <c:v>42725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B0B-46F1-B4BB-F86EEA4E2760}"/>
            </c:ext>
          </c:extLst>
        </c:ser>
        <c:ser>
          <c:idx val="15"/>
          <c:order val="5"/>
          <c:tx>
            <c:strRef>
              <c:f>List1!$B$20</c:f>
              <c:strCache>
                <c:ptCount val="1"/>
                <c:pt idx="0">
                  <c:v>Vzdělávání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List1!$C$20:$G$20</c:f>
              <c:numCache>
                <c:formatCode>#,##0</c:formatCode>
                <c:ptCount val="5"/>
                <c:pt idx="0">
                  <c:v>31464</c:v>
                </c:pt>
                <c:pt idx="1">
                  <c:v>35409</c:v>
                </c:pt>
                <c:pt idx="2">
                  <c:v>38503</c:v>
                </c:pt>
                <c:pt idx="3">
                  <c:v>40747</c:v>
                </c:pt>
                <c:pt idx="4">
                  <c:v>41485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0B-46F1-B4BB-F86EEA4E2760}"/>
            </c:ext>
          </c:extLst>
        </c:ser>
        <c:ser>
          <c:idx val="2"/>
          <c:order val="6"/>
          <c:tx>
            <c:strRef>
              <c:f>List1!$B$7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List1!$C$7:$G$7</c:f>
              <c:numCache>
                <c:formatCode>#,##0</c:formatCode>
                <c:ptCount val="5"/>
                <c:pt idx="0">
                  <c:v>31893</c:v>
                </c:pt>
                <c:pt idx="1">
                  <c:v>34008</c:v>
                </c:pt>
                <c:pt idx="2">
                  <c:v>34597</c:v>
                </c:pt>
                <c:pt idx="3">
                  <c:v>36018</c:v>
                </c:pt>
                <c:pt idx="4">
                  <c:v>38899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B0B-46F1-B4BB-F86EEA4E2760}"/>
            </c:ext>
          </c:extLst>
        </c:ser>
        <c:ser>
          <c:idx val="6"/>
          <c:order val="7"/>
          <c:tx>
            <c:strRef>
              <c:f>List1!$B$11</c:f>
              <c:strCache>
                <c:ptCount val="1"/>
                <c:pt idx="0">
                  <c:v>Velkoobchod a maloobchod…</c:v>
                </c:pt>
              </c:strCache>
            </c:strRef>
          </c:tx>
          <c:spPr>
            <a:ln w="317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List1!$C$11:$G$11</c:f>
              <c:numCache>
                <c:formatCode>#,##0</c:formatCode>
                <c:ptCount val="5"/>
                <c:pt idx="0">
                  <c:v>29986</c:v>
                </c:pt>
                <c:pt idx="1">
                  <c:v>32321</c:v>
                </c:pt>
                <c:pt idx="2">
                  <c:v>33482</c:v>
                </c:pt>
                <c:pt idx="3">
                  <c:v>34661</c:v>
                </c:pt>
                <c:pt idx="4">
                  <c:v>37575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B0B-46F1-B4BB-F86EEA4E2760}"/>
            </c:ext>
          </c:extLst>
        </c:ser>
        <c:ser>
          <c:idx val="11"/>
          <c:order val="8"/>
          <c:tx>
            <c:strRef>
              <c:f>List1!$B$16</c:f>
              <c:strCache>
                <c:ptCount val="1"/>
                <c:pt idx="0">
                  <c:v>Nemovitosti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List1!$C$16:$G$16</c:f>
              <c:numCache>
                <c:formatCode>#,##0</c:formatCode>
                <c:ptCount val="5"/>
                <c:pt idx="0">
                  <c:v>28116</c:v>
                </c:pt>
                <c:pt idx="1">
                  <c:v>31480</c:v>
                </c:pt>
                <c:pt idx="2">
                  <c:v>29873</c:v>
                </c:pt>
                <c:pt idx="3">
                  <c:v>33312</c:v>
                </c:pt>
                <c:pt idx="4">
                  <c:v>36388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B0B-46F1-B4BB-F86EEA4E2760}"/>
            </c:ext>
          </c:extLst>
        </c:ser>
        <c:ser>
          <c:idx val="8"/>
          <c:order val="9"/>
          <c:tx>
            <c:strRef>
              <c:f>List1!$B$13</c:f>
              <c:strCache>
                <c:ptCount val="1"/>
                <c:pt idx="0">
                  <c:v>Ubytování, stravování a pohostinství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List1!$C$3:$G$3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List1!$C$13:$G$13</c:f>
              <c:numCache>
                <c:formatCode>#,##0</c:formatCode>
                <c:ptCount val="5"/>
                <c:pt idx="0">
                  <c:v>19272</c:v>
                </c:pt>
                <c:pt idx="1">
                  <c:v>20934</c:v>
                </c:pt>
                <c:pt idx="2">
                  <c:v>20296</c:v>
                </c:pt>
                <c:pt idx="3">
                  <c:v>21640</c:v>
                </c:pt>
                <c:pt idx="4">
                  <c:v>23708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B0B-46F1-B4BB-F86EEA4E2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hiLowLines>
        <c:marker val="1"/>
        <c:smooth val="0"/>
        <c:axId val="1429061792"/>
        <c:axId val="1429057216"/>
      </c:lineChart>
      <c:catAx>
        <c:axId val="142906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9057216"/>
        <c:crosses val="autoZero"/>
        <c:auto val="1"/>
        <c:lblAlgn val="ctr"/>
        <c:lblOffset val="100"/>
        <c:noMultiLvlLbl val="0"/>
      </c:catAx>
      <c:valAx>
        <c:axId val="1429057216"/>
        <c:scaling>
          <c:orientation val="minMax"/>
          <c:min val="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v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9061792"/>
        <c:crosses val="autoZero"/>
        <c:crossBetween val="between"/>
        <c:majorUnit val="5000"/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64425980458690613"/>
          <c:y val="3.2993831451589753E-2"/>
          <c:w val="0.32679531243241527"/>
          <c:h val="0.93661070609516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717B-69B1-43A0-B7D4-3801C9C61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EC8D1-ED13-4197-B447-2A612E16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322B9-95AF-4063-BE65-F9B63F8D6F34}">
  <ds:schemaRefs>
    <ds:schemaRef ds:uri="5f927d68-6aa3-420b-a02e-a4390ec9f7e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338BE9-3038-4622-BED2-7FC3B46F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CZ_2022-02-08.dotx</Template>
  <TotalTime>0</TotalTime>
  <Pages>7</Pages>
  <Words>2999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20657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Holý Dalibor</dc:creator>
  <cp:lastModifiedBy>Slunečková Markéta</cp:lastModifiedBy>
  <cp:revision>3</cp:revision>
  <dcterms:created xsi:type="dcterms:W3CDTF">2023-03-03T08:38:00Z</dcterms:created>
  <dcterms:modified xsi:type="dcterms:W3CDTF">2023-03-03T09:09:00Z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